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B3E3" w14:textId="77777777" w:rsidR="00E03CCD" w:rsidRDefault="00E03CCD" w:rsidP="00E03CCD">
      <w:pPr>
        <w:pStyle w:val="Default"/>
      </w:pPr>
    </w:p>
    <w:p w14:paraId="65020B11" w14:textId="282463B4" w:rsidR="00E03CCD" w:rsidRDefault="00E03CCD" w:rsidP="00E03CCD">
      <w:pPr>
        <w:pStyle w:val="Default"/>
        <w:jc w:val="center"/>
        <w:rPr>
          <w:sz w:val="23"/>
          <w:szCs w:val="23"/>
        </w:rPr>
      </w:pPr>
      <w:r>
        <w:rPr>
          <w:b/>
          <w:bCs/>
          <w:sz w:val="23"/>
          <w:szCs w:val="23"/>
        </w:rPr>
        <w:t>UNIVERSITY OF GUELPH</w:t>
      </w:r>
    </w:p>
    <w:p w14:paraId="1A6F71E8" w14:textId="1711B2C8" w:rsidR="00E03CCD" w:rsidRDefault="00E03CCD" w:rsidP="00E03CCD">
      <w:pPr>
        <w:pStyle w:val="Default"/>
        <w:jc w:val="center"/>
        <w:rPr>
          <w:sz w:val="23"/>
          <w:szCs w:val="23"/>
        </w:rPr>
      </w:pPr>
      <w:r>
        <w:rPr>
          <w:b/>
          <w:bCs/>
          <w:sz w:val="23"/>
          <w:szCs w:val="23"/>
        </w:rPr>
        <w:t>SCHOOL OF LANGUAGES AND LITERATURES</w:t>
      </w:r>
    </w:p>
    <w:p w14:paraId="407185E2" w14:textId="1D045396" w:rsidR="00E03CCD" w:rsidRDefault="00E03CCD" w:rsidP="00E03CCD">
      <w:pPr>
        <w:pStyle w:val="Default"/>
        <w:jc w:val="center"/>
        <w:rPr>
          <w:sz w:val="23"/>
          <w:szCs w:val="23"/>
        </w:rPr>
      </w:pPr>
      <w:r>
        <w:rPr>
          <w:b/>
          <w:bCs/>
          <w:sz w:val="23"/>
          <w:szCs w:val="23"/>
        </w:rPr>
        <w:t>LATIN AMERICAN AND CARIBBEAN STUDIES</w:t>
      </w:r>
    </w:p>
    <w:p w14:paraId="5E29F635" w14:textId="5F299EB5" w:rsidR="00E03CCD" w:rsidRDefault="00E03CCD" w:rsidP="00E03CCD">
      <w:pPr>
        <w:pStyle w:val="Default"/>
        <w:jc w:val="center"/>
        <w:rPr>
          <w:sz w:val="28"/>
          <w:szCs w:val="28"/>
        </w:rPr>
      </w:pPr>
      <w:r>
        <w:rPr>
          <w:b/>
          <w:bCs/>
          <w:sz w:val="28"/>
          <w:szCs w:val="28"/>
        </w:rPr>
        <w:t>WINTER 2022 LACS*6020</w:t>
      </w:r>
    </w:p>
    <w:p w14:paraId="0AD7378F" w14:textId="2F83E34F" w:rsidR="00E03CCD" w:rsidRDefault="00E03CCD" w:rsidP="00E03CCD">
      <w:pPr>
        <w:pStyle w:val="Default"/>
        <w:jc w:val="center"/>
        <w:rPr>
          <w:color w:val="FF0000"/>
          <w:sz w:val="28"/>
          <w:szCs w:val="28"/>
        </w:rPr>
      </w:pPr>
      <w:r>
        <w:rPr>
          <w:sz w:val="28"/>
          <w:szCs w:val="28"/>
        </w:rPr>
        <w:t>COURSE OUTLINE</w:t>
      </w:r>
      <w:r>
        <w:rPr>
          <w:color w:val="FF0000"/>
          <w:sz w:val="28"/>
          <w:szCs w:val="28"/>
        </w:rPr>
        <w:t xml:space="preserve"> </w:t>
      </w:r>
    </w:p>
    <w:p w14:paraId="772CBC2E" w14:textId="2026C3DD" w:rsidR="00E03CCD" w:rsidRPr="00A56B45" w:rsidRDefault="00E03CCD" w:rsidP="00E03CCD">
      <w:pPr>
        <w:pStyle w:val="Default"/>
        <w:jc w:val="center"/>
        <w:rPr>
          <w:color w:val="4472C4" w:themeColor="accent1"/>
          <w:sz w:val="28"/>
          <w:szCs w:val="28"/>
        </w:rPr>
      </w:pPr>
      <w:r w:rsidRPr="00A56B45">
        <w:rPr>
          <w:rFonts w:ascii="Gill Sans MT" w:hAnsi="Gill Sans MT" w:cs="Gill Sans MT"/>
          <w:color w:val="4472C4" w:themeColor="accent1"/>
          <w:sz w:val="28"/>
          <w:szCs w:val="28"/>
        </w:rPr>
        <w:t xml:space="preserve">This course is planned as a </w:t>
      </w:r>
      <w:r w:rsidR="0007135D">
        <w:rPr>
          <w:rFonts w:ascii="Gill Sans MT" w:hAnsi="Gill Sans MT" w:cs="Gill Sans MT"/>
          <w:color w:val="4472C4" w:themeColor="accent1"/>
          <w:sz w:val="28"/>
          <w:szCs w:val="28"/>
        </w:rPr>
        <w:t xml:space="preserve">hybrid, </w:t>
      </w:r>
      <w:r w:rsidR="00A56B45" w:rsidRPr="00A56B45">
        <w:rPr>
          <w:rFonts w:ascii="Gill Sans MT" w:hAnsi="Gill Sans MT" w:cs="Gill Sans MT"/>
          <w:color w:val="4472C4" w:themeColor="accent1"/>
          <w:sz w:val="28"/>
          <w:szCs w:val="28"/>
        </w:rPr>
        <w:t>face-to-face</w:t>
      </w:r>
      <w:r w:rsidRPr="00A56B45">
        <w:rPr>
          <w:rFonts w:ascii="Gill Sans MT" w:hAnsi="Gill Sans MT" w:cs="Gill Sans MT"/>
          <w:color w:val="4472C4" w:themeColor="accent1"/>
          <w:sz w:val="28"/>
          <w:szCs w:val="28"/>
        </w:rPr>
        <w:t xml:space="preserve"> </w:t>
      </w:r>
      <w:r w:rsidR="0007135D">
        <w:rPr>
          <w:rFonts w:ascii="Gill Sans MT" w:hAnsi="Gill Sans MT" w:cs="Gill Sans MT"/>
          <w:color w:val="4472C4" w:themeColor="accent1"/>
          <w:sz w:val="28"/>
          <w:szCs w:val="28"/>
        </w:rPr>
        <w:t xml:space="preserve">and online, </w:t>
      </w:r>
      <w:r w:rsidRPr="00A56B45">
        <w:rPr>
          <w:rFonts w:ascii="Gill Sans MT" w:hAnsi="Gill Sans MT" w:cs="Gill Sans MT"/>
          <w:color w:val="4472C4" w:themeColor="accent1"/>
          <w:sz w:val="28"/>
          <w:szCs w:val="28"/>
        </w:rPr>
        <w:t>course.</w:t>
      </w:r>
    </w:p>
    <w:p w14:paraId="5AF80034" w14:textId="77777777" w:rsidR="00E03CCD" w:rsidRPr="00A56B45" w:rsidRDefault="00E03CCD" w:rsidP="00E03CCD">
      <w:pPr>
        <w:pStyle w:val="Default"/>
        <w:jc w:val="center"/>
        <w:rPr>
          <w:color w:val="FF0000"/>
          <w:sz w:val="28"/>
          <w:szCs w:val="28"/>
        </w:rPr>
      </w:pPr>
    </w:p>
    <w:p w14:paraId="7D7B166D" w14:textId="68DEFE40" w:rsidR="00E03CCD" w:rsidRDefault="00E03CCD" w:rsidP="00E03CCD">
      <w:pPr>
        <w:pStyle w:val="Default"/>
        <w:rPr>
          <w:sz w:val="28"/>
          <w:szCs w:val="28"/>
        </w:rPr>
      </w:pPr>
      <w:r>
        <w:rPr>
          <w:sz w:val="28"/>
          <w:szCs w:val="28"/>
        </w:rPr>
        <w:t xml:space="preserve">Identity and Culture II </w:t>
      </w:r>
      <w:r>
        <w:rPr>
          <w:sz w:val="28"/>
          <w:szCs w:val="28"/>
        </w:rPr>
        <w:tab/>
      </w:r>
      <w:r>
        <w:rPr>
          <w:sz w:val="28"/>
          <w:szCs w:val="28"/>
        </w:rPr>
        <w:tab/>
      </w:r>
      <w:r>
        <w:rPr>
          <w:sz w:val="28"/>
          <w:szCs w:val="28"/>
        </w:rPr>
        <w:tab/>
      </w:r>
      <w:r>
        <w:rPr>
          <w:sz w:val="28"/>
          <w:szCs w:val="28"/>
        </w:rPr>
        <w:tab/>
        <w:t xml:space="preserve">Coordinator: G. Yovanovich </w:t>
      </w:r>
    </w:p>
    <w:p w14:paraId="76185D9D" w14:textId="4DCCBF1B" w:rsidR="00E03CCD" w:rsidRDefault="00E03CCD" w:rsidP="00E03CCD">
      <w:pPr>
        <w:pStyle w:val="Default"/>
        <w:ind w:left="4320" w:firstLine="720"/>
        <w:rPr>
          <w:sz w:val="28"/>
          <w:szCs w:val="28"/>
        </w:rPr>
      </w:pPr>
      <w:r>
        <w:rPr>
          <w:sz w:val="28"/>
          <w:szCs w:val="28"/>
        </w:rPr>
        <w:t xml:space="preserve">e-mail: gyovanov@uoguelph.ca </w:t>
      </w:r>
    </w:p>
    <w:p w14:paraId="66703F9F" w14:textId="77777777" w:rsidR="00A56B45" w:rsidRDefault="00A56B45" w:rsidP="00A56B45">
      <w:pPr>
        <w:pStyle w:val="Default"/>
        <w:rPr>
          <w:sz w:val="28"/>
          <w:szCs w:val="28"/>
        </w:rPr>
      </w:pPr>
    </w:p>
    <w:p w14:paraId="307D4F18" w14:textId="4B0F40D1" w:rsidR="00A56B45" w:rsidRDefault="00A56B45" w:rsidP="00A56B45">
      <w:pPr>
        <w:pStyle w:val="Default"/>
        <w:rPr>
          <w:sz w:val="28"/>
          <w:szCs w:val="28"/>
        </w:rPr>
      </w:pPr>
      <w:r>
        <w:rPr>
          <w:sz w:val="28"/>
          <w:szCs w:val="28"/>
        </w:rPr>
        <w:t xml:space="preserve">LACS*6020 will be team taught by three instructors. French-speaking Caribbean literature and culture in the original and in the English translation will be taught and evaluated by Dr. Joubert </w:t>
      </w:r>
      <w:proofErr w:type="spellStart"/>
      <w:r>
        <w:rPr>
          <w:sz w:val="28"/>
          <w:szCs w:val="28"/>
        </w:rPr>
        <w:t>Satyre</w:t>
      </w:r>
      <w:proofErr w:type="spellEnd"/>
      <w:r>
        <w:rPr>
          <w:sz w:val="28"/>
          <w:szCs w:val="28"/>
        </w:rPr>
        <w:t xml:space="preserve">. Latinx literature and culture will be taught by Dr. Pablo Ramirez. The rest of the course will be taught and evaluated by the coordinator. The coordinator of the course will be present at all lectures and seminars to ensure unity and cohesion. </w:t>
      </w:r>
    </w:p>
    <w:p w14:paraId="61AC8B5A" w14:textId="77777777" w:rsidR="00A56B45" w:rsidRDefault="00A56B45" w:rsidP="00A56B45">
      <w:pPr>
        <w:pStyle w:val="Default"/>
        <w:rPr>
          <w:sz w:val="28"/>
          <w:szCs w:val="28"/>
        </w:rPr>
      </w:pPr>
    </w:p>
    <w:p w14:paraId="60B2C4D1" w14:textId="77777777" w:rsidR="00E03CCD" w:rsidRDefault="00E03CCD" w:rsidP="00E03CCD">
      <w:pPr>
        <w:pStyle w:val="Default"/>
        <w:rPr>
          <w:sz w:val="28"/>
          <w:szCs w:val="28"/>
        </w:rPr>
      </w:pPr>
      <w:r>
        <w:rPr>
          <w:b/>
          <w:bCs/>
          <w:sz w:val="28"/>
          <w:szCs w:val="28"/>
        </w:rPr>
        <w:t xml:space="preserve">Learning Objectives </w:t>
      </w:r>
    </w:p>
    <w:p w14:paraId="453573D8" w14:textId="29A1FFFD" w:rsidR="00E03CCD" w:rsidRDefault="00E03CCD" w:rsidP="00E03CCD">
      <w:pPr>
        <w:pStyle w:val="Default"/>
        <w:rPr>
          <w:sz w:val="28"/>
          <w:szCs w:val="28"/>
        </w:rPr>
      </w:pPr>
      <w:r>
        <w:rPr>
          <w:sz w:val="28"/>
          <w:szCs w:val="28"/>
        </w:rPr>
        <w:t xml:space="preserve">This course is the second part of the two required courses on Latin </w:t>
      </w:r>
      <w:r w:rsidR="00A56B45">
        <w:rPr>
          <w:sz w:val="28"/>
          <w:szCs w:val="28"/>
        </w:rPr>
        <w:t>A</w:t>
      </w:r>
      <w:r>
        <w:rPr>
          <w:sz w:val="28"/>
          <w:szCs w:val="28"/>
        </w:rPr>
        <w:t xml:space="preserve">merican Identity and Culture. </w:t>
      </w:r>
    </w:p>
    <w:p w14:paraId="2EAA1138" w14:textId="46E65105" w:rsidR="00E03CCD" w:rsidRDefault="00E03CCD" w:rsidP="00E03CCD">
      <w:pPr>
        <w:pStyle w:val="Default"/>
        <w:rPr>
          <w:sz w:val="28"/>
          <w:szCs w:val="28"/>
        </w:rPr>
      </w:pPr>
      <w:r>
        <w:rPr>
          <w:sz w:val="28"/>
          <w:szCs w:val="28"/>
        </w:rPr>
        <w:t xml:space="preserve">In this course the question of identity is approached from the point of view of community and collective memory. </w:t>
      </w:r>
    </w:p>
    <w:p w14:paraId="0CBF0AEE" w14:textId="77777777" w:rsidR="00A56B45" w:rsidRDefault="00A56B45" w:rsidP="00E03CCD">
      <w:pPr>
        <w:pStyle w:val="Default"/>
        <w:rPr>
          <w:sz w:val="28"/>
          <w:szCs w:val="28"/>
        </w:rPr>
      </w:pPr>
    </w:p>
    <w:p w14:paraId="4D634C76" w14:textId="77777777" w:rsidR="00E03CCD" w:rsidRPr="00A56B45" w:rsidRDefault="00E03CCD" w:rsidP="00E03CCD">
      <w:pPr>
        <w:pStyle w:val="Default"/>
      </w:pPr>
      <w:r w:rsidRPr="00A56B45">
        <w:t xml:space="preserve">By the end of this course a successful student will be able </w:t>
      </w:r>
    </w:p>
    <w:p w14:paraId="757930C4" w14:textId="77777777" w:rsidR="00E03CCD" w:rsidRPr="00A56B45" w:rsidRDefault="00E03CCD" w:rsidP="00E03CCD">
      <w:pPr>
        <w:pStyle w:val="Default"/>
      </w:pPr>
      <w:r w:rsidRPr="00A56B45">
        <w:t xml:space="preserve">•To discuss theory of Community and apply theoretical concepts to literature and art </w:t>
      </w:r>
    </w:p>
    <w:p w14:paraId="4550D09B" w14:textId="77777777" w:rsidR="00E03CCD" w:rsidRPr="00A56B45" w:rsidRDefault="00E03CCD" w:rsidP="00E03CCD">
      <w:pPr>
        <w:pStyle w:val="Default"/>
      </w:pPr>
      <w:r w:rsidRPr="00A56B45">
        <w:t xml:space="preserve">•To understand the difference between the official history and collective memory </w:t>
      </w:r>
    </w:p>
    <w:p w14:paraId="485F9875" w14:textId="77777777" w:rsidR="00E03CCD" w:rsidRPr="00A56B45" w:rsidRDefault="00E03CCD" w:rsidP="00E03CCD">
      <w:pPr>
        <w:pStyle w:val="Default"/>
      </w:pPr>
      <w:r w:rsidRPr="00A56B45">
        <w:t xml:space="preserve">•To evaluate the importance of collective memory for subaltern groups </w:t>
      </w:r>
    </w:p>
    <w:p w14:paraId="1668ABA7" w14:textId="77777777" w:rsidR="00E03CCD" w:rsidRPr="00A56B45" w:rsidRDefault="00E03CCD" w:rsidP="00E03CCD">
      <w:pPr>
        <w:pStyle w:val="Default"/>
      </w:pPr>
      <w:r w:rsidRPr="00A56B45">
        <w:t xml:space="preserve">•To assess the importance of collective memory and orality in community building </w:t>
      </w:r>
    </w:p>
    <w:p w14:paraId="488DF5C4" w14:textId="77777777" w:rsidR="00E03CCD" w:rsidRPr="00A56B45" w:rsidRDefault="00E03CCD" w:rsidP="00E03CCD">
      <w:pPr>
        <w:pStyle w:val="Default"/>
      </w:pPr>
      <w:r w:rsidRPr="00A56B45">
        <w:t xml:space="preserve">•To ask important questions and research answers for these questions which are to be presented orally in an organized and interesting fashion </w:t>
      </w:r>
    </w:p>
    <w:p w14:paraId="091A40B7" w14:textId="77777777" w:rsidR="00E03CCD" w:rsidRPr="00A56B45" w:rsidRDefault="00E03CCD" w:rsidP="00E03CCD">
      <w:pPr>
        <w:pStyle w:val="Default"/>
      </w:pPr>
      <w:r w:rsidRPr="00A56B45">
        <w:t xml:space="preserve">•To develop an informed argument around a single thesis statement </w:t>
      </w:r>
    </w:p>
    <w:p w14:paraId="4F315E28" w14:textId="77777777" w:rsidR="00E03CCD" w:rsidRPr="00A56B45" w:rsidRDefault="00E03CCD" w:rsidP="00E03CCD">
      <w:pPr>
        <w:pStyle w:val="Default"/>
      </w:pPr>
      <w:r w:rsidRPr="00A56B45">
        <w:t xml:space="preserve">•To select appropriate methodologies in conducting research and in writing essays </w:t>
      </w:r>
    </w:p>
    <w:p w14:paraId="33F60EC8" w14:textId="18130556" w:rsidR="00E03CCD" w:rsidRPr="00A56B45" w:rsidRDefault="00E03CCD" w:rsidP="00E03CCD">
      <w:pPr>
        <w:pStyle w:val="Default"/>
      </w:pPr>
      <w:r w:rsidRPr="00A56B45">
        <w:t xml:space="preserve">•Critically reflect on the relationship between the individual and the community, and the need for a dialog in the creation of heterogeneous community. </w:t>
      </w:r>
    </w:p>
    <w:p w14:paraId="2CC0628D" w14:textId="77777777" w:rsidR="00A56B45" w:rsidRDefault="00A56B45" w:rsidP="00E03CCD">
      <w:pPr>
        <w:pStyle w:val="Default"/>
        <w:rPr>
          <w:sz w:val="28"/>
          <w:szCs w:val="28"/>
        </w:rPr>
      </w:pPr>
    </w:p>
    <w:p w14:paraId="774B07DC" w14:textId="77777777" w:rsidR="00E03CCD" w:rsidRDefault="00E03CCD" w:rsidP="00E03CCD">
      <w:pPr>
        <w:pStyle w:val="Default"/>
        <w:rPr>
          <w:sz w:val="28"/>
          <w:szCs w:val="28"/>
        </w:rPr>
      </w:pPr>
      <w:r>
        <w:rPr>
          <w:b/>
          <w:bCs/>
          <w:sz w:val="28"/>
          <w:szCs w:val="28"/>
        </w:rPr>
        <w:t xml:space="preserve">Method of Presentation </w:t>
      </w:r>
    </w:p>
    <w:p w14:paraId="14797C89" w14:textId="23367415" w:rsidR="00E03CCD" w:rsidRDefault="00E03CCD" w:rsidP="00E03CCD">
      <w:pPr>
        <w:pStyle w:val="Default"/>
        <w:rPr>
          <w:sz w:val="28"/>
          <w:szCs w:val="28"/>
        </w:rPr>
      </w:pPr>
      <w:r>
        <w:rPr>
          <w:sz w:val="28"/>
          <w:szCs w:val="28"/>
        </w:rPr>
        <w:t xml:space="preserve">Interactive multi-media seminars will combine lectures, student presentations, and general discussion. </w:t>
      </w:r>
    </w:p>
    <w:p w14:paraId="7B102184" w14:textId="77777777" w:rsidR="00A56B45" w:rsidRDefault="00A56B45" w:rsidP="00E03CCD">
      <w:pPr>
        <w:pStyle w:val="Default"/>
        <w:rPr>
          <w:sz w:val="28"/>
          <w:szCs w:val="28"/>
        </w:rPr>
      </w:pPr>
    </w:p>
    <w:p w14:paraId="13AB3FC1" w14:textId="77777777" w:rsidR="00E03CCD" w:rsidRDefault="00E03CCD" w:rsidP="00E03CCD">
      <w:pPr>
        <w:pStyle w:val="Default"/>
        <w:rPr>
          <w:sz w:val="28"/>
          <w:szCs w:val="28"/>
        </w:rPr>
      </w:pPr>
      <w:r>
        <w:rPr>
          <w:b/>
          <w:bCs/>
          <w:sz w:val="28"/>
          <w:szCs w:val="28"/>
        </w:rPr>
        <w:t xml:space="preserve">Texts Studied </w:t>
      </w:r>
    </w:p>
    <w:p w14:paraId="2BB99A7E" w14:textId="77777777" w:rsidR="00E03CCD" w:rsidRDefault="00E03CCD" w:rsidP="00E03CCD">
      <w:pPr>
        <w:pStyle w:val="Default"/>
        <w:rPr>
          <w:sz w:val="28"/>
          <w:szCs w:val="28"/>
        </w:rPr>
      </w:pPr>
      <w:r>
        <w:rPr>
          <w:sz w:val="28"/>
          <w:szCs w:val="28"/>
        </w:rPr>
        <w:t xml:space="preserve">Gerard </w:t>
      </w:r>
      <w:proofErr w:type="spellStart"/>
      <w:r>
        <w:rPr>
          <w:sz w:val="28"/>
          <w:szCs w:val="28"/>
        </w:rPr>
        <w:t>Delanty</w:t>
      </w:r>
      <w:proofErr w:type="spellEnd"/>
      <w:r>
        <w:rPr>
          <w:sz w:val="28"/>
          <w:szCs w:val="28"/>
        </w:rPr>
        <w:t xml:space="preserve">, </w:t>
      </w:r>
      <w:r>
        <w:rPr>
          <w:i/>
          <w:iCs/>
          <w:sz w:val="28"/>
          <w:szCs w:val="28"/>
        </w:rPr>
        <w:t xml:space="preserve">Community </w:t>
      </w:r>
    </w:p>
    <w:p w14:paraId="0A68A347" w14:textId="77777777" w:rsidR="00E03CCD" w:rsidRDefault="00E03CCD" w:rsidP="00E03CCD">
      <w:pPr>
        <w:pStyle w:val="Default"/>
        <w:rPr>
          <w:sz w:val="28"/>
          <w:szCs w:val="28"/>
        </w:rPr>
      </w:pPr>
      <w:r>
        <w:rPr>
          <w:sz w:val="28"/>
          <w:szCs w:val="28"/>
        </w:rPr>
        <w:lastRenderedPageBreak/>
        <w:t xml:space="preserve">Collection of articles on community and collective memory theory </w:t>
      </w:r>
    </w:p>
    <w:p w14:paraId="6B4C838D" w14:textId="77777777" w:rsidR="00E03CCD" w:rsidRPr="00E03CCD" w:rsidRDefault="00E03CCD" w:rsidP="00E03CCD">
      <w:pPr>
        <w:pStyle w:val="Default"/>
        <w:rPr>
          <w:sz w:val="28"/>
          <w:szCs w:val="28"/>
          <w:lang w:val="es-ES"/>
        </w:rPr>
      </w:pPr>
      <w:r w:rsidRPr="00E03CCD">
        <w:rPr>
          <w:sz w:val="28"/>
          <w:szCs w:val="28"/>
          <w:lang w:val="es-ES"/>
        </w:rPr>
        <w:t xml:space="preserve">Gabriel García </w:t>
      </w:r>
      <w:proofErr w:type="spellStart"/>
      <w:r w:rsidRPr="00E03CCD">
        <w:rPr>
          <w:sz w:val="28"/>
          <w:szCs w:val="28"/>
          <w:lang w:val="es-ES"/>
        </w:rPr>
        <w:t>Marquez</w:t>
      </w:r>
      <w:proofErr w:type="spellEnd"/>
      <w:r w:rsidRPr="00E03CCD">
        <w:rPr>
          <w:sz w:val="28"/>
          <w:szCs w:val="28"/>
          <w:lang w:val="es-ES"/>
        </w:rPr>
        <w:t>, ¨En este pueblo no hay ladrones¨/¨</w:t>
      </w:r>
      <w:proofErr w:type="spellStart"/>
      <w:r w:rsidRPr="00E03CCD">
        <w:rPr>
          <w:sz w:val="28"/>
          <w:szCs w:val="28"/>
          <w:lang w:val="es-ES"/>
        </w:rPr>
        <w:t>There</w:t>
      </w:r>
      <w:proofErr w:type="spellEnd"/>
      <w:r w:rsidRPr="00E03CCD">
        <w:rPr>
          <w:sz w:val="28"/>
          <w:szCs w:val="28"/>
          <w:lang w:val="es-ES"/>
        </w:rPr>
        <w:t xml:space="preserve"> are no </w:t>
      </w:r>
    </w:p>
    <w:p w14:paraId="715FB13B" w14:textId="77777777" w:rsidR="00E03CCD" w:rsidRPr="00E03CCD" w:rsidRDefault="00E03CCD" w:rsidP="00E03CCD">
      <w:pPr>
        <w:pStyle w:val="Default"/>
        <w:rPr>
          <w:sz w:val="28"/>
          <w:szCs w:val="28"/>
          <w:lang w:val="es-ES"/>
        </w:rPr>
      </w:pPr>
      <w:proofErr w:type="spellStart"/>
      <w:r w:rsidRPr="00E03CCD">
        <w:rPr>
          <w:sz w:val="28"/>
          <w:szCs w:val="28"/>
          <w:lang w:val="es-ES"/>
        </w:rPr>
        <w:t>Thieves</w:t>
      </w:r>
      <w:proofErr w:type="spellEnd"/>
      <w:r w:rsidRPr="00E03CCD">
        <w:rPr>
          <w:sz w:val="28"/>
          <w:szCs w:val="28"/>
          <w:lang w:val="es-ES"/>
        </w:rPr>
        <w:t xml:space="preserve"> in </w:t>
      </w:r>
      <w:proofErr w:type="spellStart"/>
      <w:r w:rsidRPr="00E03CCD">
        <w:rPr>
          <w:sz w:val="28"/>
          <w:szCs w:val="28"/>
          <w:lang w:val="es-ES"/>
        </w:rPr>
        <w:t>this</w:t>
      </w:r>
      <w:proofErr w:type="spellEnd"/>
      <w:r w:rsidRPr="00E03CCD">
        <w:rPr>
          <w:sz w:val="28"/>
          <w:szCs w:val="28"/>
          <w:lang w:val="es-ES"/>
        </w:rPr>
        <w:t xml:space="preserve"> Town¨ </w:t>
      </w:r>
    </w:p>
    <w:p w14:paraId="7F1F0BC2" w14:textId="5570AC39" w:rsidR="00E03CCD" w:rsidRDefault="00E03CCD" w:rsidP="00E03CCD">
      <w:pPr>
        <w:pStyle w:val="Default"/>
        <w:rPr>
          <w:i/>
          <w:iCs/>
          <w:sz w:val="28"/>
          <w:szCs w:val="28"/>
          <w:lang w:val="es-ES"/>
        </w:rPr>
      </w:pPr>
      <w:r w:rsidRPr="00E03CCD">
        <w:rPr>
          <w:sz w:val="28"/>
          <w:szCs w:val="28"/>
          <w:lang w:val="es-ES"/>
        </w:rPr>
        <w:t xml:space="preserve">Isabel Allende, </w:t>
      </w:r>
      <w:r w:rsidRPr="00E03CCD">
        <w:rPr>
          <w:i/>
          <w:iCs/>
          <w:sz w:val="28"/>
          <w:szCs w:val="28"/>
          <w:lang w:val="es-ES"/>
        </w:rPr>
        <w:t xml:space="preserve">La casa de los espíritus </w:t>
      </w:r>
    </w:p>
    <w:p w14:paraId="37014EBB" w14:textId="77777777" w:rsidR="00A56B45" w:rsidRDefault="00A56B45" w:rsidP="00A56B45">
      <w:pPr>
        <w:pStyle w:val="Default"/>
        <w:rPr>
          <w:sz w:val="28"/>
          <w:szCs w:val="28"/>
        </w:rPr>
      </w:pPr>
      <w:proofErr w:type="spellStart"/>
      <w:r>
        <w:rPr>
          <w:sz w:val="28"/>
          <w:szCs w:val="28"/>
        </w:rPr>
        <w:t>Rudolfo</w:t>
      </w:r>
      <w:proofErr w:type="spellEnd"/>
      <w:r>
        <w:rPr>
          <w:sz w:val="28"/>
          <w:szCs w:val="28"/>
        </w:rPr>
        <w:t xml:space="preserve"> A. Anaya, </w:t>
      </w:r>
      <w:r>
        <w:rPr>
          <w:i/>
          <w:iCs/>
          <w:sz w:val="28"/>
          <w:szCs w:val="28"/>
        </w:rPr>
        <w:t xml:space="preserve">Heart of </w:t>
      </w:r>
      <w:proofErr w:type="spellStart"/>
      <w:r>
        <w:rPr>
          <w:i/>
          <w:iCs/>
          <w:sz w:val="28"/>
          <w:szCs w:val="28"/>
        </w:rPr>
        <w:t>Azatlan</w:t>
      </w:r>
      <w:proofErr w:type="spellEnd"/>
      <w:r>
        <w:rPr>
          <w:i/>
          <w:iCs/>
          <w:sz w:val="28"/>
          <w:szCs w:val="28"/>
        </w:rPr>
        <w:t xml:space="preserve"> </w:t>
      </w:r>
    </w:p>
    <w:p w14:paraId="48362EA7" w14:textId="77777777" w:rsidR="00A56B45" w:rsidRDefault="00A56B45" w:rsidP="00A56B45">
      <w:pPr>
        <w:pStyle w:val="Default"/>
        <w:rPr>
          <w:sz w:val="28"/>
          <w:szCs w:val="28"/>
        </w:rPr>
      </w:pPr>
      <w:proofErr w:type="spellStart"/>
      <w:r>
        <w:rPr>
          <w:sz w:val="28"/>
          <w:szCs w:val="28"/>
        </w:rPr>
        <w:t>Yxta</w:t>
      </w:r>
      <w:proofErr w:type="spellEnd"/>
      <w:r>
        <w:rPr>
          <w:sz w:val="28"/>
          <w:szCs w:val="28"/>
        </w:rPr>
        <w:t xml:space="preserve"> Maya Murray, </w:t>
      </w:r>
      <w:r>
        <w:rPr>
          <w:i/>
          <w:iCs/>
          <w:sz w:val="28"/>
          <w:szCs w:val="28"/>
        </w:rPr>
        <w:t xml:space="preserve">The Conquest </w:t>
      </w:r>
    </w:p>
    <w:p w14:paraId="61A8AAE3" w14:textId="77777777" w:rsidR="00A56B45" w:rsidRDefault="00A56B45" w:rsidP="00A56B45">
      <w:pPr>
        <w:pStyle w:val="Default"/>
        <w:rPr>
          <w:sz w:val="28"/>
          <w:szCs w:val="28"/>
        </w:rPr>
      </w:pPr>
      <w:r>
        <w:rPr>
          <w:sz w:val="28"/>
          <w:szCs w:val="28"/>
        </w:rPr>
        <w:t xml:space="preserve">Daniel José Older, </w:t>
      </w:r>
      <w:proofErr w:type="spellStart"/>
      <w:r>
        <w:rPr>
          <w:i/>
          <w:iCs/>
          <w:sz w:val="28"/>
          <w:szCs w:val="28"/>
        </w:rPr>
        <w:t>Shadoshaper</w:t>
      </w:r>
      <w:proofErr w:type="spellEnd"/>
      <w:r>
        <w:rPr>
          <w:i/>
          <w:iCs/>
          <w:sz w:val="28"/>
          <w:szCs w:val="28"/>
        </w:rPr>
        <w:t xml:space="preserve"> </w:t>
      </w:r>
    </w:p>
    <w:p w14:paraId="6512FDE5" w14:textId="77777777" w:rsidR="00E03CCD" w:rsidRDefault="00E03CCD" w:rsidP="00E03CCD">
      <w:pPr>
        <w:pStyle w:val="Default"/>
        <w:rPr>
          <w:sz w:val="28"/>
          <w:szCs w:val="28"/>
        </w:rPr>
      </w:pPr>
      <w:r>
        <w:rPr>
          <w:sz w:val="28"/>
          <w:szCs w:val="28"/>
        </w:rPr>
        <w:t xml:space="preserve">Patrick </w:t>
      </w:r>
      <w:proofErr w:type="spellStart"/>
      <w:r>
        <w:rPr>
          <w:sz w:val="28"/>
          <w:szCs w:val="28"/>
        </w:rPr>
        <w:t>Chamoiseau</w:t>
      </w:r>
      <w:proofErr w:type="spellEnd"/>
      <w:r>
        <w:rPr>
          <w:sz w:val="28"/>
          <w:szCs w:val="28"/>
        </w:rPr>
        <w:t xml:space="preserve">, </w:t>
      </w:r>
      <w:proofErr w:type="spellStart"/>
      <w:r>
        <w:rPr>
          <w:i/>
          <w:iCs/>
          <w:sz w:val="28"/>
          <w:szCs w:val="28"/>
        </w:rPr>
        <w:t>Solibo</w:t>
      </w:r>
      <w:proofErr w:type="spellEnd"/>
      <w:r>
        <w:rPr>
          <w:i/>
          <w:iCs/>
          <w:sz w:val="28"/>
          <w:szCs w:val="28"/>
        </w:rPr>
        <w:t xml:space="preserve"> Magnificent </w:t>
      </w:r>
    </w:p>
    <w:p w14:paraId="24A3341A" w14:textId="77777777" w:rsidR="00E03CCD" w:rsidRDefault="00E03CCD" w:rsidP="00E03CCD">
      <w:pPr>
        <w:pStyle w:val="Default"/>
        <w:rPr>
          <w:sz w:val="28"/>
          <w:szCs w:val="28"/>
        </w:rPr>
      </w:pPr>
      <w:bookmarkStart w:id="0" w:name="_Hlk91148898"/>
      <w:r>
        <w:rPr>
          <w:sz w:val="28"/>
          <w:szCs w:val="28"/>
        </w:rPr>
        <w:t xml:space="preserve">Jacques </w:t>
      </w:r>
      <w:proofErr w:type="spellStart"/>
      <w:r>
        <w:rPr>
          <w:sz w:val="28"/>
          <w:szCs w:val="28"/>
        </w:rPr>
        <w:t>Roumain</w:t>
      </w:r>
      <w:proofErr w:type="spellEnd"/>
      <w:r>
        <w:rPr>
          <w:sz w:val="28"/>
          <w:szCs w:val="28"/>
        </w:rPr>
        <w:t xml:space="preserve">, </w:t>
      </w:r>
      <w:r>
        <w:rPr>
          <w:i/>
          <w:iCs/>
          <w:sz w:val="28"/>
          <w:szCs w:val="28"/>
        </w:rPr>
        <w:t xml:space="preserve">Masters of the Dew </w:t>
      </w:r>
    </w:p>
    <w:bookmarkEnd w:id="0"/>
    <w:p w14:paraId="2412913B" w14:textId="77777777" w:rsidR="00E03CCD" w:rsidRDefault="00E03CCD" w:rsidP="00E03CCD">
      <w:pPr>
        <w:pStyle w:val="Default"/>
        <w:rPr>
          <w:sz w:val="28"/>
          <w:szCs w:val="28"/>
        </w:rPr>
      </w:pPr>
      <w:r>
        <w:rPr>
          <w:sz w:val="28"/>
          <w:szCs w:val="28"/>
        </w:rPr>
        <w:t xml:space="preserve">Maryse </w:t>
      </w:r>
      <w:proofErr w:type="spellStart"/>
      <w:r>
        <w:rPr>
          <w:sz w:val="28"/>
          <w:szCs w:val="28"/>
        </w:rPr>
        <w:t>Dondé</w:t>
      </w:r>
      <w:proofErr w:type="spellEnd"/>
      <w:r>
        <w:rPr>
          <w:sz w:val="28"/>
          <w:szCs w:val="28"/>
        </w:rPr>
        <w:t xml:space="preserve">, </w:t>
      </w:r>
      <w:r>
        <w:rPr>
          <w:i/>
          <w:iCs/>
          <w:sz w:val="28"/>
          <w:szCs w:val="28"/>
        </w:rPr>
        <w:t xml:space="preserve">Crossing the Mangrove </w:t>
      </w:r>
    </w:p>
    <w:p w14:paraId="3B733C5E" w14:textId="77777777" w:rsidR="00E03CCD" w:rsidRDefault="00E03CCD" w:rsidP="00E03CCD">
      <w:pPr>
        <w:pStyle w:val="Default"/>
        <w:rPr>
          <w:sz w:val="30"/>
          <w:szCs w:val="30"/>
        </w:rPr>
      </w:pPr>
      <w:r>
        <w:rPr>
          <w:b/>
          <w:bCs/>
          <w:sz w:val="30"/>
          <w:szCs w:val="30"/>
        </w:rPr>
        <w:t xml:space="preserve">Method of Evaluation </w:t>
      </w:r>
    </w:p>
    <w:p w14:paraId="4EDFBF23" w14:textId="2E5C05ED" w:rsidR="00E03CCD" w:rsidRDefault="00E03CCD" w:rsidP="00E03CCD">
      <w:pPr>
        <w:pStyle w:val="Default"/>
        <w:rPr>
          <w:sz w:val="30"/>
          <w:szCs w:val="30"/>
        </w:rPr>
      </w:pPr>
      <w:r>
        <w:rPr>
          <w:sz w:val="30"/>
          <w:szCs w:val="30"/>
        </w:rPr>
        <w:t>3 modules (20+</w:t>
      </w:r>
      <w:r w:rsidR="00487BA9">
        <w:rPr>
          <w:sz w:val="30"/>
          <w:szCs w:val="30"/>
        </w:rPr>
        <w:t>20</w:t>
      </w:r>
      <w:r>
        <w:rPr>
          <w:sz w:val="30"/>
          <w:szCs w:val="30"/>
        </w:rPr>
        <w:t>+</w:t>
      </w:r>
      <w:r w:rsidR="00487BA9">
        <w:rPr>
          <w:sz w:val="30"/>
          <w:szCs w:val="30"/>
        </w:rPr>
        <w:t>20</w:t>
      </w:r>
      <w:r>
        <w:rPr>
          <w:sz w:val="30"/>
          <w:szCs w:val="30"/>
        </w:rPr>
        <w:t>) .............................................</w:t>
      </w:r>
      <w:r w:rsidR="00826E7C">
        <w:rPr>
          <w:sz w:val="30"/>
          <w:szCs w:val="30"/>
        </w:rPr>
        <w:t>.........</w:t>
      </w:r>
      <w:r>
        <w:rPr>
          <w:sz w:val="30"/>
          <w:szCs w:val="30"/>
        </w:rPr>
        <w:t>..</w:t>
      </w:r>
      <w:r w:rsidR="00826E7C">
        <w:rPr>
          <w:sz w:val="30"/>
          <w:szCs w:val="30"/>
        </w:rPr>
        <w:t>.</w:t>
      </w:r>
      <w:r>
        <w:rPr>
          <w:sz w:val="30"/>
          <w:szCs w:val="30"/>
        </w:rPr>
        <w:t xml:space="preserve"> </w:t>
      </w:r>
      <w:r w:rsidR="00487BA9">
        <w:rPr>
          <w:sz w:val="30"/>
          <w:szCs w:val="30"/>
        </w:rPr>
        <w:t>6</w:t>
      </w:r>
      <w:r>
        <w:rPr>
          <w:sz w:val="30"/>
          <w:szCs w:val="30"/>
        </w:rPr>
        <w:t xml:space="preserve">0% </w:t>
      </w:r>
    </w:p>
    <w:p w14:paraId="78B4709C" w14:textId="6AC54E5C" w:rsidR="00E03CCD" w:rsidRDefault="00E03CCD" w:rsidP="00E03CCD">
      <w:pPr>
        <w:pStyle w:val="Default"/>
        <w:rPr>
          <w:sz w:val="30"/>
          <w:szCs w:val="30"/>
        </w:rPr>
      </w:pPr>
      <w:r>
        <w:rPr>
          <w:sz w:val="30"/>
          <w:szCs w:val="30"/>
        </w:rPr>
        <w:t>Class Participation ………………………………………</w:t>
      </w:r>
      <w:r w:rsidR="00826E7C">
        <w:rPr>
          <w:sz w:val="30"/>
          <w:szCs w:val="30"/>
        </w:rPr>
        <w:t>………</w:t>
      </w:r>
      <w:r>
        <w:rPr>
          <w:sz w:val="30"/>
          <w:szCs w:val="30"/>
        </w:rPr>
        <w:t xml:space="preserve">10% </w:t>
      </w:r>
    </w:p>
    <w:p w14:paraId="3D511B24" w14:textId="5C4F642D" w:rsidR="00E03CCD" w:rsidRDefault="00E03CCD" w:rsidP="00E03CCD">
      <w:pPr>
        <w:pStyle w:val="Default"/>
        <w:rPr>
          <w:sz w:val="30"/>
          <w:szCs w:val="30"/>
        </w:rPr>
      </w:pPr>
      <w:r>
        <w:rPr>
          <w:sz w:val="30"/>
          <w:szCs w:val="30"/>
        </w:rPr>
        <w:t>Essay Proposal</w:t>
      </w:r>
      <w:r w:rsidR="00487BA9">
        <w:rPr>
          <w:sz w:val="30"/>
          <w:szCs w:val="30"/>
        </w:rPr>
        <w:t xml:space="preserve">, </w:t>
      </w:r>
      <w:r>
        <w:rPr>
          <w:sz w:val="30"/>
          <w:szCs w:val="30"/>
        </w:rPr>
        <w:t>Annotated Bibliography</w:t>
      </w:r>
      <w:r w:rsidR="00487BA9">
        <w:rPr>
          <w:sz w:val="30"/>
          <w:szCs w:val="30"/>
        </w:rPr>
        <w:t xml:space="preserve"> and Final Essay</w:t>
      </w:r>
      <w:r w:rsidR="00826E7C">
        <w:rPr>
          <w:sz w:val="30"/>
          <w:szCs w:val="30"/>
        </w:rPr>
        <w:t>.... 3</w:t>
      </w:r>
      <w:r>
        <w:rPr>
          <w:sz w:val="30"/>
          <w:szCs w:val="30"/>
        </w:rPr>
        <w:t xml:space="preserve">0% </w:t>
      </w:r>
    </w:p>
    <w:p w14:paraId="4EBED7C5" w14:textId="5F455075" w:rsidR="00E03CCD" w:rsidRDefault="00E03CCD" w:rsidP="00E03CCD">
      <w:pPr>
        <w:pStyle w:val="Default"/>
        <w:rPr>
          <w:rFonts w:ascii="Calibri" w:hAnsi="Calibri" w:cs="Calibri"/>
          <w:sz w:val="28"/>
          <w:szCs w:val="28"/>
        </w:rPr>
      </w:pPr>
      <w:r>
        <w:rPr>
          <w:rFonts w:ascii="Calibri" w:hAnsi="Calibri" w:cs="Calibri"/>
          <w:sz w:val="28"/>
          <w:szCs w:val="28"/>
        </w:rPr>
        <w:t>Lat</w:t>
      </w:r>
      <w:r w:rsidR="00487BA9">
        <w:rPr>
          <w:rFonts w:ascii="Calibri" w:hAnsi="Calibri" w:cs="Calibri"/>
          <w:sz w:val="28"/>
          <w:szCs w:val="28"/>
        </w:rPr>
        <w:t>e</w:t>
      </w:r>
      <w:r>
        <w:rPr>
          <w:rFonts w:ascii="Calibri" w:hAnsi="Calibri" w:cs="Calibri"/>
          <w:sz w:val="28"/>
          <w:szCs w:val="28"/>
        </w:rPr>
        <w:t xml:space="preserve"> policy: 2% per day </w:t>
      </w:r>
    </w:p>
    <w:p w14:paraId="012C7AE4" w14:textId="22731CE6" w:rsidR="005624D6" w:rsidRDefault="005624D6" w:rsidP="00E03CCD">
      <w:pPr>
        <w:pStyle w:val="Default"/>
        <w:rPr>
          <w:rFonts w:ascii="Calibri" w:hAnsi="Calibri" w:cs="Calibri"/>
          <w:sz w:val="28"/>
          <w:szCs w:val="28"/>
        </w:rPr>
      </w:pPr>
    </w:p>
    <w:p w14:paraId="5583481E" w14:textId="77777777" w:rsidR="005624D6" w:rsidRDefault="005624D6" w:rsidP="005624D6">
      <w:pPr>
        <w:shd w:val="clear" w:color="auto" w:fill="FFFFFF"/>
        <w:spacing w:before="300" w:after="150" w:line="240" w:lineRule="auto"/>
        <w:outlineLvl w:val="2"/>
        <w:rPr>
          <w:rFonts w:ascii="Lato" w:eastAsia="Times New Roman" w:hAnsi="Lato" w:cs="Times New Roman"/>
          <w:color w:val="2C2727"/>
          <w:sz w:val="24"/>
          <w:szCs w:val="24"/>
        </w:rPr>
      </w:pPr>
      <w:r>
        <w:rPr>
          <w:rFonts w:ascii="Lato" w:eastAsia="Times New Roman" w:hAnsi="Lato" w:cs="Times New Roman"/>
          <w:color w:val="2C2727"/>
          <w:sz w:val="24"/>
          <w:szCs w:val="24"/>
        </w:rPr>
        <w:t>Email Communication</w:t>
      </w:r>
    </w:p>
    <w:p w14:paraId="28728BE7" w14:textId="77777777" w:rsidR="005624D6" w:rsidRDefault="005624D6" w:rsidP="005624D6">
      <w:pPr>
        <w:shd w:val="clear" w:color="auto" w:fill="FFFFFF"/>
        <w:spacing w:after="360" w:line="360" w:lineRule="atLeast"/>
        <w:rPr>
          <w:rFonts w:ascii="Lato" w:eastAsia="Times New Roman" w:hAnsi="Lato" w:cs="Times New Roman"/>
          <w:color w:val="2C2727"/>
          <w:sz w:val="24"/>
          <w:szCs w:val="24"/>
        </w:rPr>
      </w:pPr>
      <w:r>
        <w:rPr>
          <w:rFonts w:ascii="Lato" w:eastAsia="Times New Roman" w:hAnsi="Lato" w:cs="Times New Roman"/>
          <w:color w:val="2C2727"/>
          <w:sz w:val="24"/>
          <w:szCs w:val="24"/>
        </w:rPr>
        <w:t>As per university regulations, all students are required to check their &lt;uoguelph.ca&gt; e-mail account regularly: e-mail is the official route of communication between the University and its students.</w:t>
      </w:r>
    </w:p>
    <w:p w14:paraId="4D6DF110" w14:textId="77777777" w:rsidR="005624D6" w:rsidRDefault="005624D6" w:rsidP="005624D6">
      <w:pPr>
        <w:shd w:val="clear" w:color="auto" w:fill="FFFFFF"/>
        <w:spacing w:before="300" w:after="150" w:line="240" w:lineRule="auto"/>
        <w:outlineLvl w:val="2"/>
        <w:rPr>
          <w:rFonts w:ascii="Lato" w:eastAsia="Times New Roman" w:hAnsi="Lato" w:cs="Times New Roman"/>
          <w:color w:val="2C2727"/>
          <w:sz w:val="24"/>
          <w:szCs w:val="24"/>
        </w:rPr>
      </w:pPr>
      <w:r>
        <w:rPr>
          <w:rFonts w:ascii="Lato" w:eastAsia="Times New Roman" w:hAnsi="Lato" w:cs="Times New Roman"/>
          <w:color w:val="2C2727"/>
          <w:sz w:val="24"/>
          <w:szCs w:val="24"/>
        </w:rPr>
        <w:t>When You Cannot Meet a Course Requirement</w:t>
      </w:r>
    </w:p>
    <w:p w14:paraId="0DC5CBFB" w14:textId="77777777" w:rsidR="005624D6" w:rsidRDefault="005624D6" w:rsidP="005624D6">
      <w:pPr>
        <w:shd w:val="clear" w:color="auto" w:fill="FFFFFF"/>
        <w:spacing w:after="360" w:line="360" w:lineRule="atLeast"/>
        <w:rPr>
          <w:rFonts w:ascii="Lato" w:eastAsia="Times New Roman" w:hAnsi="Lato" w:cs="Times New Roman"/>
          <w:color w:val="2C2727"/>
          <w:sz w:val="24"/>
          <w:szCs w:val="24"/>
        </w:rPr>
      </w:pPr>
      <w:r>
        <w:rPr>
          <w:rFonts w:ascii="Lato" w:eastAsia="Times New Roman" w:hAnsi="Lato" w:cs="Times New Roman"/>
          <w:color w:val="2C2727"/>
          <w:sz w:val="24"/>
          <w:szCs w:val="24"/>
        </w:rPr>
        <w:t>When you find yourself unable to meet an in-course requirement because of illness or compassionate reasons, please advise the course instructor (or designated person, such as a teaching assistant) in writing, with your name, id#, and e-mail contact. See the Undergraduate Calendar for information on regulations and procedures for </w:t>
      </w:r>
      <w:hyperlink r:id="rId4" w:history="1">
        <w:r>
          <w:rPr>
            <w:rStyle w:val="Hyperlink"/>
            <w:rFonts w:ascii="Lato" w:eastAsia="Times New Roman" w:hAnsi="Lato" w:cs="Times New Roman"/>
            <w:color w:val="2174BB"/>
            <w:sz w:val="24"/>
            <w:szCs w:val="24"/>
          </w:rPr>
          <w:t>Academic Consideration</w:t>
        </w:r>
      </w:hyperlink>
      <w:r>
        <w:rPr>
          <w:rFonts w:ascii="Lato" w:eastAsia="Times New Roman" w:hAnsi="Lato" w:cs="Times New Roman"/>
          <w:color w:val="2C2727"/>
          <w:sz w:val="24"/>
          <w:szCs w:val="24"/>
        </w:rPr>
        <w:t>.</w:t>
      </w:r>
    </w:p>
    <w:p w14:paraId="782F1580" w14:textId="77777777" w:rsidR="005624D6" w:rsidRDefault="005624D6" w:rsidP="005624D6">
      <w:pPr>
        <w:shd w:val="clear" w:color="auto" w:fill="FFFFFF"/>
        <w:spacing w:before="300" w:after="150" w:line="240" w:lineRule="auto"/>
        <w:outlineLvl w:val="2"/>
        <w:rPr>
          <w:rFonts w:ascii="Lato" w:eastAsia="Times New Roman" w:hAnsi="Lato" w:cs="Times New Roman"/>
          <w:color w:val="2C2727"/>
          <w:sz w:val="24"/>
          <w:szCs w:val="24"/>
        </w:rPr>
      </w:pPr>
      <w:r>
        <w:rPr>
          <w:rFonts w:ascii="Lato" w:eastAsia="Times New Roman" w:hAnsi="Lato" w:cs="Times New Roman"/>
          <w:color w:val="2C2727"/>
          <w:sz w:val="24"/>
          <w:szCs w:val="24"/>
        </w:rPr>
        <w:t>Drop Date</w:t>
      </w:r>
    </w:p>
    <w:p w14:paraId="4158CDFB" w14:textId="77777777" w:rsidR="005624D6" w:rsidRDefault="005624D6" w:rsidP="005624D6">
      <w:pPr>
        <w:shd w:val="clear" w:color="auto" w:fill="FFFFFF"/>
        <w:spacing w:after="360" w:line="360" w:lineRule="atLeast"/>
        <w:rPr>
          <w:rFonts w:ascii="Lato" w:eastAsia="Times New Roman" w:hAnsi="Lato" w:cs="Times New Roman"/>
          <w:color w:val="2C2727"/>
          <w:sz w:val="24"/>
          <w:szCs w:val="24"/>
        </w:rPr>
      </w:pPr>
      <w:r>
        <w:rPr>
          <w:rFonts w:ascii="Lato" w:eastAsia="Times New Roman" w:hAnsi="Lato" w:cs="Times New Roman"/>
          <w:color w:val="2C2727"/>
          <w:sz w:val="24"/>
          <w:szCs w:val="24"/>
        </w:rPr>
        <w:t>Courses that are one semester long must be dropped by the end of the last day of classes; two-semester courses must be dropped by the last day of classes in the second semester. The regulations and procedures for </w:t>
      </w:r>
      <w:hyperlink r:id="rId5" w:history="1">
        <w:r>
          <w:rPr>
            <w:rStyle w:val="Hyperlink"/>
            <w:rFonts w:ascii="Lato" w:eastAsia="Times New Roman" w:hAnsi="Lato" w:cs="Times New Roman"/>
            <w:color w:val="2174BB"/>
            <w:sz w:val="24"/>
            <w:szCs w:val="24"/>
          </w:rPr>
          <w:t>Dropping Courses</w:t>
        </w:r>
      </w:hyperlink>
      <w:r>
        <w:rPr>
          <w:rFonts w:ascii="Lato" w:eastAsia="Times New Roman" w:hAnsi="Lato" w:cs="Times New Roman"/>
          <w:color w:val="2C2727"/>
          <w:sz w:val="24"/>
          <w:szCs w:val="24"/>
        </w:rPr>
        <w:t> are available in the Undergraduate Calendar.</w:t>
      </w:r>
    </w:p>
    <w:p w14:paraId="06E2E10A" w14:textId="77777777" w:rsidR="005624D6" w:rsidRDefault="005624D6" w:rsidP="005624D6">
      <w:pPr>
        <w:shd w:val="clear" w:color="auto" w:fill="FFFFFF"/>
        <w:spacing w:before="300" w:after="150" w:line="240" w:lineRule="auto"/>
        <w:outlineLvl w:val="2"/>
        <w:rPr>
          <w:rFonts w:ascii="Lato" w:eastAsia="Times New Roman" w:hAnsi="Lato" w:cs="Times New Roman"/>
          <w:color w:val="2C2727"/>
          <w:sz w:val="24"/>
          <w:szCs w:val="24"/>
        </w:rPr>
      </w:pPr>
      <w:r>
        <w:rPr>
          <w:rFonts w:ascii="Lato" w:eastAsia="Times New Roman" w:hAnsi="Lato" w:cs="Times New Roman"/>
          <w:color w:val="2C2727"/>
          <w:sz w:val="24"/>
          <w:szCs w:val="24"/>
        </w:rPr>
        <w:t>Copies of Out-Of-Class Assignments</w:t>
      </w:r>
    </w:p>
    <w:p w14:paraId="48E001B7" w14:textId="77777777" w:rsidR="005624D6" w:rsidRDefault="005624D6" w:rsidP="005624D6">
      <w:pPr>
        <w:shd w:val="clear" w:color="auto" w:fill="FFFFFF"/>
        <w:spacing w:after="360" w:line="360" w:lineRule="atLeast"/>
        <w:rPr>
          <w:rFonts w:ascii="Lato" w:eastAsia="Times New Roman" w:hAnsi="Lato" w:cs="Times New Roman"/>
          <w:color w:val="2C2727"/>
          <w:sz w:val="24"/>
          <w:szCs w:val="24"/>
        </w:rPr>
      </w:pPr>
      <w:r>
        <w:rPr>
          <w:rFonts w:ascii="Lato" w:eastAsia="Times New Roman" w:hAnsi="Lato" w:cs="Times New Roman"/>
          <w:color w:val="2C2727"/>
          <w:sz w:val="24"/>
          <w:szCs w:val="24"/>
        </w:rPr>
        <w:lastRenderedPageBreak/>
        <w:t>Keep paper and/or other reliable back-up copies of all out-of-class assignments: you may be asked to resubmit work at any time.</w:t>
      </w:r>
    </w:p>
    <w:p w14:paraId="54AEB574" w14:textId="77777777" w:rsidR="005624D6" w:rsidRDefault="005624D6" w:rsidP="005624D6">
      <w:pPr>
        <w:shd w:val="clear" w:color="auto" w:fill="FFFFFF"/>
        <w:spacing w:before="300" w:after="150" w:line="240" w:lineRule="auto"/>
        <w:outlineLvl w:val="2"/>
        <w:rPr>
          <w:rFonts w:ascii="Lato" w:eastAsia="Times New Roman" w:hAnsi="Lato" w:cs="Times New Roman"/>
          <w:color w:val="2C2727"/>
          <w:sz w:val="24"/>
          <w:szCs w:val="24"/>
        </w:rPr>
      </w:pPr>
      <w:r>
        <w:rPr>
          <w:rFonts w:ascii="Lato" w:eastAsia="Times New Roman" w:hAnsi="Lato" w:cs="Times New Roman"/>
          <w:color w:val="2C2727"/>
          <w:sz w:val="24"/>
          <w:szCs w:val="24"/>
        </w:rPr>
        <w:t>Accessibility</w:t>
      </w:r>
    </w:p>
    <w:p w14:paraId="4D73F32A" w14:textId="77777777" w:rsidR="005624D6" w:rsidRDefault="005624D6" w:rsidP="005624D6">
      <w:pPr>
        <w:shd w:val="clear" w:color="auto" w:fill="FFFFFF"/>
        <w:spacing w:after="360" w:line="360" w:lineRule="atLeast"/>
        <w:rPr>
          <w:rFonts w:ascii="Lato" w:eastAsia="Times New Roman" w:hAnsi="Lato" w:cs="Times New Roman"/>
          <w:color w:val="2C2727"/>
          <w:sz w:val="24"/>
          <w:szCs w:val="24"/>
        </w:rPr>
      </w:pPr>
      <w:r>
        <w:rPr>
          <w:rFonts w:ascii="Lato" w:eastAsia="Times New Roman" w:hAnsi="Lato" w:cs="Times New Roman"/>
          <w:color w:val="2C2727"/>
          <w:sz w:val="24"/>
          <w:szCs w:val="24"/>
        </w:rPr>
        <w:t>The University promotes the full participation of students who experience disabilities in their academic programs.  To that end, the provision of academic accommodation is a shared responsibility between the University and the student.</w:t>
      </w:r>
    </w:p>
    <w:p w14:paraId="74446BCB" w14:textId="77777777" w:rsidR="005624D6" w:rsidRDefault="005624D6" w:rsidP="005624D6">
      <w:pPr>
        <w:shd w:val="clear" w:color="auto" w:fill="FFFFFF"/>
        <w:spacing w:after="360" w:line="360" w:lineRule="atLeast"/>
        <w:rPr>
          <w:rFonts w:ascii="Lato" w:eastAsia="Times New Roman" w:hAnsi="Lato" w:cs="Times New Roman"/>
          <w:color w:val="2C2727"/>
          <w:sz w:val="24"/>
          <w:szCs w:val="24"/>
        </w:rPr>
      </w:pPr>
      <w:r>
        <w:rPr>
          <w:rFonts w:ascii="Lato" w:eastAsia="Times New Roman" w:hAnsi="Lato" w:cs="Times New Roman"/>
          <w:color w:val="2C2727"/>
          <w:sz w:val="24"/>
          <w:szCs w:val="24"/>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7FE84D45" w14:textId="77777777" w:rsidR="005624D6" w:rsidRDefault="005624D6" w:rsidP="005624D6">
      <w:pPr>
        <w:shd w:val="clear" w:color="auto" w:fill="FFFFFF"/>
        <w:spacing w:after="360" w:line="360" w:lineRule="atLeast"/>
        <w:rPr>
          <w:rFonts w:ascii="Lato" w:eastAsia="Times New Roman" w:hAnsi="Lato" w:cs="Times New Roman"/>
          <w:color w:val="2C2727"/>
          <w:sz w:val="24"/>
          <w:szCs w:val="24"/>
        </w:rPr>
      </w:pPr>
      <w:r>
        <w:rPr>
          <w:rFonts w:ascii="Lato" w:eastAsia="Times New Roman" w:hAnsi="Lato" w:cs="Times New Roman"/>
          <w:color w:val="2C2727"/>
          <w:sz w:val="24"/>
          <w:szCs w:val="24"/>
        </w:rPr>
        <w:t>Accommodations are available for both permanent and temporary disabilities. It should be noted that common illnesses such as a cold or the flu do not constitute a disability.</w:t>
      </w:r>
    </w:p>
    <w:p w14:paraId="0DE93A18" w14:textId="77777777" w:rsidR="005624D6" w:rsidRDefault="005624D6" w:rsidP="005624D6">
      <w:pPr>
        <w:shd w:val="clear" w:color="auto" w:fill="FFFFFF"/>
        <w:spacing w:after="360" w:line="360" w:lineRule="atLeast"/>
        <w:rPr>
          <w:rFonts w:ascii="Lato" w:eastAsia="Times New Roman" w:hAnsi="Lato" w:cs="Times New Roman"/>
          <w:color w:val="2C2727"/>
          <w:sz w:val="24"/>
          <w:szCs w:val="24"/>
        </w:rPr>
      </w:pPr>
      <w:r>
        <w:rPr>
          <w:rFonts w:ascii="Lato" w:eastAsia="Times New Roman" w:hAnsi="Lato" w:cs="Times New Roman"/>
          <w:color w:val="2C2727"/>
          <w:sz w:val="24"/>
          <w:szCs w:val="24"/>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47665F18" w14:textId="77777777" w:rsidR="005624D6" w:rsidRDefault="005624D6" w:rsidP="005624D6">
      <w:pPr>
        <w:shd w:val="clear" w:color="auto" w:fill="FFFFFF"/>
        <w:spacing w:after="360" w:line="360" w:lineRule="atLeast"/>
        <w:rPr>
          <w:rFonts w:ascii="Lato" w:eastAsia="Times New Roman" w:hAnsi="Lato" w:cs="Times New Roman"/>
          <w:color w:val="2C2727"/>
          <w:sz w:val="24"/>
          <w:szCs w:val="24"/>
        </w:rPr>
      </w:pPr>
      <w:r>
        <w:rPr>
          <w:rFonts w:ascii="Lato" w:eastAsia="Times New Roman" w:hAnsi="Lato" w:cs="Times New Roman"/>
          <w:color w:val="2C2727"/>
          <w:sz w:val="24"/>
          <w:szCs w:val="24"/>
        </w:rPr>
        <w:t>More information: </w:t>
      </w:r>
      <w:hyperlink r:id="rId6" w:history="1">
        <w:r>
          <w:rPr>
            <w:rStyle w:val="Hyperlink"/>
            <w:rFonts w:ascii="Lato" w:eastAsia="Times New Roman" w:hAnsi="Lato" w:cs="Times New Roman"/>
            <w:color w:val="2174BB"/>
            <w:sz w:val="24"/>
            <w:szCs w:val="24"/>
          </w:rPr>
          <w:t>www.uoguelph.ca/sas</w:t>
        </w:r>
      </w:hyperlink>
    </w:p>
    <w:p w14:paraId="3D5AF449" w14:textId="77777777" w:rsidR="005624D6" w:rsidRDefault="005624D6" w:rsidP="005624D6">
      <w:pPr>
        <w:shd w:val="clear" w:color="auto" w:fill="FFFFFF"/>
        <w:spacing w:before="300" w:after="150" w:line="240" w:lineRule="auto"/>
        <w:outlineLvl w:val="2"/>
        <w:rPr>
          <w:rFonts w:ascii="Lato" w:eastAsia="Times New Roman" w:hAnsi="Lato" w:cs="Times New Roman"/>
          <w:color w:val="2C2727"/>
          <w:sz w:val="24"/>
          <w:szCs w:val="24"/>
        </w:rPr>
      </w:pPr>
      <w:r>
        <w:rPr>
          <w:rFonts w:ascii="Lato" w:eastAsia="Times New Roman" w:hAnsi="Lato" w:cs="Times New Roman"/>
          <w:color w:val="2C2727"/>
          <w:sz w:val="24"/>
          <w:szCs w:val="24"/>
        </w:rPr>
        <w:t>Academic Misconduct</w:t>
      </w:r>
    </w:p>
    <w:p w14:paraId="655A62D1" w14:textId="77777777" w:rsidR="005624D6" w:rsidRDefault="005624D6" w:rsidP="005624D6">
      <w:pPr>
        <w:shd w:val="clear" w:color="auto" w:fill="FFFFFF"/>
        <w:spacing w:after="360" w:line="360" w:lineRule="atLeast"/>
        <w:rPr>
          <w:rFonts w:ascii="Lato" w:eastAsia="Times New Roman" w:hAnsi="Lato" w:cs="Times New Roman"/>
          <w:color w:val="2C2727"/>
          <w:sz w:val="24"/>
          <w:szCs w:val="24"/>
        </w:rPr>
      </w:pPr>
      <w:r>
        <w:rPr>
          <w:rFonts w:ascii="Lato" w:eastAsia="Times New Roman" w:hAnsi="Lato" w:cs="Times New Roman"/>
          <w:color w:val="2C2727"/>
          <w:sz w:val="24"/>
          <w:szCs w:val="24"/>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578DE502" w14:textId="77777777" w:rsidR="005624D6" w:rsidRDefault="005624D6" w:rsidP="005624D6">
      <w:pPr>
        <w:shd w:val="clear" w:color="auto" w:fill="FFFFFF"/>
        <w:spacing w:after="360" w:line="360" w:lineRule="atLeast"/>
        <w:rPr>
          <w:rFonts w:ascii="Lato" w:eastAsia="Times New Roman" w:hAnsi="Lato" w:cs="Times New Roman"/>
          <w:color w:val="2C2727"/>
          <w:sz w:val="24"/>
          <w:szCs w:val="24"/>
        </w:rPr>
      </w:pPr>
      <w:r>
        <w:rPr>
          <w:rFonts w:ascii="Lato" w:eastAsia="Times New Roman" w:hAnsi="Lato" w:cs="Times New Roman"/>
          <w:color w:val="2C2727"/>
          <w:sz w:val="24"/>
          <w:szCs w:val="24"/>
        </w:rPr>
        <w:lastRenderedPageBreak/>
        <w:t xml:space="preserve">Please note: </w:t>
      </w:r>
      <w:proofErr w:type="gramStart"/>
      <w:r>
        <w:rPr>
          <w:rFonts w:ascii="Lato" w:eastAsia="Times New Roman" w:hAnsi="Lato" w:cs="Times New Roman"/>
          <w:color w:val="2C2727"/>
          <w:sz w:val="24"/>
          <w:szCs w:val="24"/>
        </w:rPr>
        <w:t>Whether or not</w:t>
      </w:r>
      <w:proofErr w:type="gramEnd"/>
      <w:r>
        <w:rPr>
          <w:rFonts w:ascii="Lato" w:eastAsia="Times New Roman" w:hAnsi="Lato" w:cs="Times New Roman"/>
          <w:color w:val="2C2727"/>
          <w:sz w:val="24"/>
          <w:szCs w:val="24"/>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79976BF1" w14:textId="77777777" w:rsidR="005624D6" w:rsidRDefault="005624D6" w:rsidP="005624D6">
      <w:pPr>
        <w:shd w:val="clear" w:color="auto" w:fill="FFFFFF"/>
        <w:spacing w:after="360" w:line="360" w:lineRule="atLeast"/>
        <w:rPr>
          <w:rFonts w:ascii="Lato" w:eastAsia="Times New Roman" w:hAnsi="Lato" w:cs="Times New Roman"/>
          <w:color w:val="2C2727"/>
          <w:sz w:val="24"/>
          <w:szCs w:val="24"/>
        </w:rPr>
      </w:pPr>
      <w:r>
        <w:rPr>
          <w:rFonts w:ascii="Lato" w:eastAsia="Times New Roman" w:hAnsi="Lato" w:cs="Times New Roman"/>
          <w:color w:val="2C2727"/>
          <w:sz w:val="24"/>
          <w:szCs w:val="24"/>
        </w:rPr>
        <w:t>The </w:t>
      </w:r>
      <w:hyperlink r:id="rId7" w:history="1">
        <w:r>
          <w:rPr>
            <w:rStyle w:val="Hyperlink"/>
            <w:rFonts w:ascii="Lato" w:eastAsia="Times New Roman" w:hAnsi="Lato" w:cs="Times New Roman"/>
            <w:color w:val="2174BB"/>
            <w:sz w:val="24"/>
            <w:szCs w:val="24"/>
          </w:rPr>
          <w:t>Academic Misconduct Policy</w:t>
        </w:r>
      </w:hyperlink>
      <w:r>
        <w:rPr>
          <w:rFonts w:ascii="Lato" w:eastAsia="Times New Roman" w:hAnsi="Lato" w:cs="Times New Roman"/>
          <w:color w:val="2C2727"/>
          <w:sz w:val="24"/>
          <w:szCs w:val="24"/>
        </w:rPr>
        <w:t> is outlined in the Undergraduate Calendar.</w:t>
      </w:r>
    </w:p>
    <w:p w14:paraId="4115042C" w14:textId="77777777" w:rsidR="005624D6" w:rsidRDefault="005624D6" w:rsidP="005624D6">
      <w:pPr>
        <w:shd w:val="clear" w:color="auto" w:fill="FFFFFF"/>
        <w:spacing w:before="300" w:after="150" w:line="240" w:lineRule="auto"/>
        <w:outlineLvl w:val="2"/>
        <w:rPr>
          <w:rFonts w:ascii="Lato" w:eastAsia="Times New Roman" w:hAnsi="Lato" w:cs="Times New Roman"/>
          <w:color w:val="2C2727"/>
          <w:sz w:val="24"/>
          <w:szCs w:val="24"/>
        </w:rPr>
      </w:pPr>
      <w:r>
        <w:rPr>
          <w:rFonts w:ascii="Lato" w:eastAsia="Times New Roman" w:hAnsi="Lato" w:cs="Times New Roman"/>
          <w:color w:val="2C2727"/>
          <w:sz w:val="24"/>
          <w:szCs w:val="24"/>
        </w:rPr>
        <w:t>Recording of Materials</w:t>
      </w:r>
    </w:p>
    <w:p w14:paraId="5E4DDD21" w14:textId="77777777" w:rsidR="005624D6" w:rsidRDefault="005624D6" w:rsidP="005624D6">
      <w:pPr>
        <w:shd w:val="clear" w:color="auto" w:fill="FFFFFF"/>
        <w:spacing w:after="360" w:line="360" w:lineRule="atLeast"/>
        <w:rPr>
          <w:rFonts w:ascii="Lato" w:eastAsia="Times New Roman" w:hAnsi="Lato" w:cs="Times New Roman"/>
          <w:color w:val="2C2727"/>
          <w:sz w:val="24"/>
          <w:szCs w:val="24"/>
        </w:rPr>
      </w:pPr>
      <w:r>
        <w:rPr>
          <w:rFonts w:ascii="Lato" w:eastAsia="Times New Roman" w:hAnsi="Lato" w:cs="Times New Roman"/>
          <w:color w:val="2C2727"/>
          <w:sz w:val="24"/>
          <w:szCs w:val="24"/>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6C293053" w14:textId="77777777" w:rsidR="005624D6" w:rsidRDefault="005624D6" w:rsidP="005624D6">
      <w:pPr>
        <w:shd w:val="clear" w:color="auto" w:fill="FFFFFF"/>
        <w:spacing w:before="300" w:after="150" w:line="240" w:lineRule="auto"/>
        <w:outlineLvl w:val="2"/>
        <w:rPr>
          <w:rFonts w:ascii="Lato" w:eastAsia="Times New Roman" w:hAnsi="Lato" w:cs="Times New Roman"/>
          <w:color w:val="2C2727"/>
          <w:sz w:val="24"/>
          <w:szCs w:val="24"/>
        </w:rPr>
      </w:pPr>
      <w:r>
        <w:rPr>
          <w:rFonts w:ascii="Lato" w:eastAsia="Times New Roman" w:hAnsi="Lato" w:cs="Times New Roman"/>
          <w:color w:val="2C2727"/>
          <w:sz w:val="24"/>
          <w:szCs w:val="24"/>
        </w:rPr>
        <w:t>Resources</w:t>
      </w:r>
    </w:p>
    <w:p w14:paraId="032FCB3B" w14:textId="77777777" w:rsidR="005624D6" w:rsidRDefault="005624D6" w:rsidP="005624D6">
      <w:pPr>
        <w:shd w:val="clear" w:color="auto" w:fill="FFFFFF"/>
        <w:spacing w:after="360" w:line="360" w:lineRule="atLeast"/>
        <w:rPr>
          <w:rFonts w:ascii="Lato" w:eastAsia="Times New Roman" w:hAnsi="Lato" w:cs="Times New Roman"/>
          <w:color w:val="2C2727"/>
          <w:sz w:val="24"/>
          <w:szCs w:val="24"/>
        </w:rPr>
      </w:pPr>
      <w:r>
        <w:rPr>
          <w:rFonts w:ascii="Lato" w:eastAsia="Times New Roman" w:hAnsi="Lato" w:cs="Times New Roman"/>
          <w:color w:val="2C2727"/>
          <w:sz w:val="24"/>
          <w:szCs w:val="24"/>
        </w:rPr>
        <w:t>The </w:t>
      </w:r>
      <w:hyperlink r:id="rId8" w:history="1">
        <w:r>
          <w:rPr>
            <w:rStyle w:val="Hyperlink"/>
            <w:rFonts w:ascii="Lato" w:eastAsia="Times New Roman" w:hAnsi="Lato" w:cs="Times New Roman"/>
            <w:color w:val="2174BB"/>
            <w:sz w:val="24"/>
            <w:szCs w:val="24"/>
          </w:rPr>
          <w:t>Academic Calendars</w:t>
        </w:r>
      </w:hyperlink>
      <w:r>
        <w:rPr>
          <w:rFonts w:ascii="Lato" w:eastAsia="Times New Roman" w:hAnsi="Lato" w:cs="Times New Roman"/>
          <w:color w:val="2C2727"/>
          <w:sz w:val="24"/>
          <w:szCs w:val="24"/>
        </w:rPr>
        <w:t> are the source of information about the University of Guelph’s procedures, policies and regulations which apply to undergraduate, graduate and diploma programs.</w:t>
      </w:r>
    </w:p>
    <w:p w14:paraId="5B943946" w14:textId="77777777" w:rsidR="005624D6" w:rsidRDefault="005624D6" w:rsidP="005624D6">
      <w:pPr>
        <w:shd w:val="clear" w:color="auto" w:fill="FFFFFF"/>
        <w:spacing w:before="300" w:after="150" w:line="240" w:lineRule="auto"/>
        <w:outlineLvl w:val="2"/>
        <w:rPr>
          <w:rFonts w:ascii="Lato" w:eastAsia="Times New Roman" w:hAnsi="Lato" w:cs="Times New Roman"/>
          <w:color w:val="2C2727"/>
          <w:sz w:val="24"/>
          <w:szCs w:val="24"/>
        </w:rPr>
      </w:pPr>
      <w:r>
        <w:rPr>
          <w:rFonts w:ascii="Lato" w:eastAsia="Times New Roman" w:hAnsi="Lato" w:cs="Times New Roman"/>
          <w:color w:val="2C2727"/>
          <w:sz w:val="24"/>
          <w:szCs w:val="24"/>
        </w:rPr>
        <w:t>Disclaimer</w:t>
      </w:r>
    </w:p>
    <w:p w14:paraId="60661E07" w14:textId="77777777" w:rsidR="005624D6" w:rsidRDefault="005624D6" w:rsidP="005624D6">
      <w:pPr>
        <w:shd w:val="clear" w:color="auto" w:fill="FFFFFF"/>
        <w:spacing w:after="360" w:line="360" w:lineRule="atLeast"/>
        <w:rPr>
          <w:rFonts w:ascii="Lato" w:eastAsia="Times New Roman" w:hAnsi="Lato" w:cs="Times New Roman"/>
          <w:color w:val="2C2727"/>
          <w:sz w:val="24"/>
          <w:szCs w:val="24"/>
        </w:rPr>
      </w:pPr>
      <w:r>
        <w:rPr>
          <w:rFonts w:ascii="Lato" w:eastAsia="Times New Roman" w:hAnsi="Lato" w:cs="Times New Roman"/>
          <w:color w:val="2C2727"/>
          <w:sz w:val="24"/>
          <w:szCs w:val="24"/>
        </w:rPr>
        <w:t xml:space="preserve">Please note that the ongoing COVID-19 pandemic may necessitate a revision of the format of course offerings, changes in classroom protocols, and academic schedules. Any such changes will be announced via </w:t>
      </w:r>
      <w:proofErr w:type="spellStart"/>
      <w:r>
        <w:rPr>
          <w:rFonts w:ascii="Lato" w:eastAsia="Times New Roman" w:hAnsi="Lato" w:cs="Times New Roman"/>
          <w:color w:val="2C2727"/>
          <w:sz w:val="24"/>
          <w:szCs w:val="24"/>
        </w:rPr>
        <w:t>Courselink</w:t>
      </w:r>
      <w:proofErr w:type="spellEnd"/>
      <w:r>
        <w:rPr>
          <w:rFonts w:ascii="Lato" w:eastAsia="Times New Roman" w:hAnsi="Lato" w:cs="Times New Roman"/>
          <w:color w:val="2C2727"/>
          <w:sz w:val="24"/>
          <w:szCs w:val="24"/>
        </w:rPr>
        <w:t xml:space="preserve"> and/or class email. </w:t>
      </w:r>
    </w:p>
    <w:p w14:paraId="489ADD17" w14:textId="77777777" w:rsidR="005624D6" w:rsidRDefault="005624D6" w:rsidP="005624D6">
      <w:pPr>
        <w:shd w:val="clear" w:color="auto" w:fill="FFFFFF"/>
        <w:spacing w:after="360" w:line="360" w:lineRule="atLeast"/>
        <w:rPr>
          <w:rFonts w:ascii="Lato" w:eastAsia="Times New Roman" w:hAnsi="Lato" w:cs="Times New Roman"/>
          <w:color w:val="2C2727"/>
          <w:sz w:val="24"/>
          <w:szCs w:val="24"/>
        </w:rPr>
      </w:pPr>
      <w:r>
        <w:rPr>
          <w:rFonts w:ascii="Lato" w:eastAsia="Times New Roman" w:hAnsi="Lato" w:cs="Times New Roman"/>
          <w:color w:val="2C2727"/>
          <w:sz w:val="24"/>
          <w:szCs w:val="24"/>
        </w:rPr>
        <w:t xml:space="preserve">This includes on-campus scheduling during the semester, </w:t>
      </w:r>
      <w:proofErr w:type="gramStart"/>
      <w:r>
        <w:rPr>
          <w:rFonts w:ascii="Lato" w:eastAsia="Times New Roman" w:hAnsi="Lato" w:cs="Times New Roman"/>
          <w:color w:val="2C2727"/>
          <w:sz w:val="24"/>
          <w:szCs w:val="24"/>
        </w:rPr>
        <w:t>mid-terms</w:t>
      </w:r>
      <w:proofErr w:type="gramEnd"/>
      <w:r>
        <w:rPr>
          <w:rFonts w:ascii="Lato" w:eastAsia="Times New Roman" w:hAnsi="Lato" w:cs="Times New Roman"/>
          <w:color w:val="2C2727"/>
          <w:sz w:val="24"/>
          <w:szCs w:val="24"/>
        </w:rPr>
        <w:t xml:space="preserve"> and final examination schedules. All University-wide decisions will be posted on the COVID-19 website (</w:t>
      </w:r>
      <w:hyperlink r:id="rId9" w:history="1">
        <w:r>
          <w:rPr>
            <w:rStyle w:val="Hyperlink"/>
            <w:rFonts w:ascii="Lato" w:eastAsia="Times New Roman" w:hAnsi="Lato" w:cs="Times New Roman"/>
            <w:color w:val="2174BB"/>
            <w:sz w:val="24"/>
            <w:szCs w:val="24"/>
          </w:rPr>
          <w:t>https://news.uoguelph.ca/2019-novel-coronavirus-information/</w:t>
        </w:r>
      </w:hyperlink>
      <w:r>
        <w:rPr>
          <w:rFonts w:ascii="Lato" w:eastAsia="Times New Roman" w:hAnsi="Lato" w:cs="Times New Roman"/>
          <w:color w:val="2C2727"/>
          <w:sz w:val="24"/>
          <w:szCs w:val="24"/>
        </w:rPr>
        <w:t>) and circulated by email.</w:t>
      </w:r>
    </w:p>
    <w:p w14:paraId="35287381" w14:textId="77777777" w:rsidR="005624D6" w:rsidRDefault="005624D6" w:rsidP="00E03CCD">
      <w:pPr>
        <w:pStyle w:val="Default"/>
        <w:rPr>
          <w:rFonts w:ascii="Calibri" w:hAnsi="Calibri" w:cs="Calibri"/>
          <w:sz w:val="28"/>
          <w:szCs w:val="28"/>
        </w:rPr>
      </w:pPr>
    </w:p>
    <w:sectPr w:rsidR="00562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CD"/>
    <w:rsid w:val="0007135D"/>
    <w:rsid w:val="00487BA9"/>
    <w:rsid w:val="00495F25"/>
    <w:rsid w:val="005624D6"/>
    <w:rsid w:val="006539E6"/>
    <w:rsid w:val="00826E7C"/>
    <w:rsid w:val="00A56B45"/>
    <w:rsid w:val="00B36140"/>
    <w:rsid w:val="00E03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4C48"/>
  <w15:chartTrackingRefBased/>
  <w15:docId w15:val="{07A3A1C0-61BD-4C53-9637-49D980C8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D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3CC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5624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guelph.ca/registrar/calendars/index.cfm?index" TargetMode="External"/><Relationship Id="rId3" Type="http://schemas.openxmlformats.org/officeDocument/2006/relationships/webSettings" Target="webSettings.xml"/><Relationship Id="rId7" Type="http://schemas.openxmlformats.org/officeDocument/2006/relationships/hyperlink" Target="https://calendar.uoguelph.ca/undergraduate-calendar/undergraduate-degree-regulations-procedures/academic-miscondu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oguelph.ca/sas" TargetMode="External"/><Relationship Id="rId11" Type="http://schemas.openxmlformats.org/officeDocument/2006/relationships/theme" Target="theme/theme1.xml"/><Relationship Id="rId5" Type="http://schemas.openxmlformats.org/officeDocument/2006/relationships/hyperlink" Target="https://calendar.uoguelph.ca/undergraduate-calendar/undergraduate-degree-regulations-procedures/dropping-courses/" TargetMode="External"/><Relationship Id="rId10" Type="http://schemas.openxmlformats.org/officeDocument/2006/relationships/fontTable" Target="fontTable.xml"/><Relationship Id="rId4" Type="http://schemas.openxmlformats.org/officeDocument/2006/relationships/hyperlink" Target="https://calendar.uoguelph.ca/undergraduate-calendar/undergraduate-degree-regulations-procedures/academic-consideration-appeals-petitions/" TargetMode="External"/><Relationship Id="rId9" Type="http://schemas.openxmlformats.org/officeDocument/2006/relationships/hyperlink" Target="https://news.uoguelph.ca/2019-novel-coronavirus-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Yovanovich</dc:creator>
  <cp:keywords/>
  <dc:description/>
  <cp:lastModifiedBy>Gordana Yovanovich</cp:lastModifiedBy>
  <cp:revision>2</cp:revision>
  <dcterms:created xsi:type="dcterms:W3CDTF">2021-12-23T18:18:00Z</dcterms:created>
  <dcterms:modified xsi:type="dcterms:W3CDTF">2021-12-23T18:18:00Z</dcterms:modified>
</cp:coreProperties>
</file>