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7490" w14:textId="70F5D301" w:rsidR="00431BE5" w:rsidRDefault="0095456C" w:rsidP="00C34F96">
      <w:pPr>
        <w:rPr>
          <w:rFonts w:ascii="Bitter" w:hAnsi="Bitter"/>
          <w:b/>
          <w:bCs/>
          <w:sz w:val="36"/>
          <w:szCs w:val="36"/>
        </w:rPr>
      </w:pPr>
      <w:r>
        <w:rPr>
          <w:rFonts w:ascii="Bitter" w:hAnsi="Bitter"/>
          <w:b/>
          <w:bCs/>
          <w:noProof/>
          <w:sz w:val="36"/>
          <w:szCs w:val="36"/>
        </w:rPr>
        <mc:AlternateContent>
          <mc:Choice Requires="wps">
            <w:drawing>
              <wp:anchor distT="0" distB="0" distL="114300" distR="114300" simplePos="0" relativeHeight="251658239" behindDoc="1" locked="0" layoutInCell="1" allowOverlap="1" wp14:anchorId="21ACCAB8" wp14:editId="2375993A">
                <wp:simplePos x="0" y="0"/>
                <wp:positionH relativeFrom="page">
                  <wp:align>right</wp:align>
                </wp:positionH>
                <wp:positionV relativeFrom="paragraph">
                  <wp:posOffset>-478465</wp:posOffset>
                </wp:positionV>
                <wp:extent cx="7825356" cy="10193572"/>
                <wp:effectExtent l="0" t="0" r="23495" b="17780"/>
                <wp:wrapNone/>
                <wp:docPr id="420571661" name="Rectangle 5"/>
                <wp:cNvGraphicFramePr/>
                <a:graphic xmlns:a="http://schemas.openxmlformats.org/drawingml/2006/main">
                  <a:graphicData uri="http://schemas.microsoft.com/office/word/2010/wordprocessingShape">
                    <wps:wsp>
                      <wps:cNvSpPr/>
                      <wps:spPr>
                        <a:xfrm>
                          <a:off x="0" y="0"/>
                          <a:ext cx="7825356" cy="10193572"/>
                        </a:xfrm>
                        <a:prstGeom prst="rect">
                          <a:avLst/>
                        </a:prstGeom>
                        <a:solidFill>
                          <a:srgbClr val="E5193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688DD" id="Rectangle 5" o:spid="_x0000_s1026" style="position:absolute;margin-left:564.95pt;margin-top:-37.65pt;width:616.15pt;height:802.6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" fillcolor="#e51937" strokecolor="#030e13 [484]" strokeweight="1pt">
                <w10:wrap anchorx="page"/>
              </v:rect>
            </w:pict>
          </mc:Fallback>
        </mc:AlternateContent>
      </w:r>
    </w:p>
    <w:p w14:paraId="1CE13E04" w14:textId="64B535A3" w:rsidR="00806B4B" w:rsidRDefault="00806B4B" w:rsidP="00C34F96">
      <w:pPr>
        <w:rPr>
          <w:rFonts w:ascii="Bitter" w:hAnsi="Bitter"/>
          <w:b/>
          <w:bCs/>
          <w:color w:val="EE0000"/>
          <w:sz w:val="28"/>
          <w:szCs w:val="28"/>
        </w:rPr>
      </w:pPr>
    </w:p>
    <w:p w14:paraId="24178D2D" w14:textId="1B1B3879" w:rsidR="00806B4B" w:rsidRDefault="00806B4B" w:rsidP="00806B4B">
      <w:pPr>
        <w:jc w:val="center"/>
        <w:rPr>
          <w:rFonts w:ascii="Bitter" w:hAnsi="Bitter"/>
          <w:b/>
          <w:bCs/>
          <w:color w:val="EE0000"/>
          <w:sz w:val="28"/>
          <w:szCs w:val="28"/>
        </w:rPr>
      </w:pPr>
      <w:r>
        <w:rPr>
          <w:rFonts w:ascii="Bitter" w:hAnsi="Bitter"/>
          <w:b/>
          <w:bCs/>
          <w:noProof/>
          <w:color w:val="EE0000"/>
          <w:sz w:val="28"/>
          <w:szCs w:val="28"/>
        </w:rPr>
        <w:drawing>
          <wp:inline distT="0" distB="0" distL="0" distR="0" wp14:anchorId="3BAB0CED" wp14:editId="7D1BFEC2">
            <wp:extent cx="6350000" cy="6350000"/>
            <wp:effectExtent l="0" t="0" r="0" b="0"/>
            <wp:docPr id="25076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6104" name="Picture 25076104"/>
                    <pic:cNvPicPr/>
                  </pic:nvPicPr>
                  <pic:blipFill>
                    <a:blip r:embed="rId5">
                      <a:extLst>
                        <a:ext uri="{28A0092B-C50C-407E-A947-70E740481C1C}">
                          <a14:useLocalDpi xmlns:a14="http://schemas.microsoft.com/office/drawing/2010/main" val="0"/>
                        </a:ext>
                      </a:extLst>
                    </a:blip>
                    <a:stretch>
                      <a:fillRect/>
                    </a:stretch>
                  </pic:blipFill>
                  <pic:spPr>
                    <a:xfrm>
                      <a:off x="0" y="0"/>
                      <a:ext cx="6350000" cy="6350000"/>
                    </a:xfrm>
                    <a:prstGeom prst="rect">
                      <a:avLst/>
                    </a:prstGeom>
                  </pic:spPr>
                </pic:pic>
              </a:graphicData>
            </a:graphic>
          </wp:inline>
        </w:drawing>
      </w:r>
    </w:p>
    <w:p w14:paraId="4211C162" w14:textId="2287A325" w:rsidR="00806B4B" w:rsidRDefault="00806B4B" w:rsidP="00C34F96">
      <w:pPr>
        <w:rPr>
          <w:rFonts w:ascii="Bitter" w:hAnsi="Bitter"/>
          <w:b/>
          <w:bCs/>
          <w:color w:val="EE0000"/>
          <w:sz w:val="28"/>
          <w:szCs w:val="28"/>
        </w:rPr>
      </w:pPr>
    </w:p>
    <w:p w14:paraId="1C8E4B17" w14:textId="4353FB85" w:rsidR="00806B4B" w:rsidRPr="0095456C" w:rsidRDefault="00806B4B" w:rsidP="0095456C">
      <w:pPr>
        <w:spacing w:after="0"/>
        <w:rPr>
          <w:rFonts w:ascii="Bitter" w:hAnsi="Bitter"/>
          <w:b/>
          <w:bCs/>
          <w:color w:val="FFFFFF" w:themeColor="background1"/>
          <w:sz w:val="50"/>
          <w:szCs w:val="50"/>
        </w:rPr>
      </w:pPr>
      <w:r w:rsidRPr="0095456C">
        <w:rPr>
          <w:rFonts w:ascii="Bitter" w:hAnsi="Bitter"/>
          <w:b/>
          <w:bCs/>
          <w:color w:val="FFFFFF" w:themeColor="background1"/>
          <w:sz w:val="50"/>
          <w:szCs w:val="50"/>
        </w:rPr>
        <w:t xml:space="preserve">University of Guelph’s </w:t>
      </w:r>
      <w:r w:rsidR="0095456C">
        <w:rPr>
          <w:rFonts w:ascii="Bitter" w:hAnsi="Bitter"/>
          <w:b/>
          <w:bCs/>
          <w:color w:val="FFFFFF" w:themeColor="background1"/>
          <w:sz w:val="50"/>
          <w:szCs w:val="50"/>
        </w:rPr>
        <w:t xml:space="preserve">2025 </w:t>
      </w:r>
      <w:r w:rsidRPr="0095456C">
        <w:rPr>
          <w:rFonts w:ascii="Bitter" w:hAnsi="Bitter"/>
          <w:b/>
          <w:bCs/>
          <w:color w:val="FFFFFF" w:themeColor="background1"/>
          <w:sz w:val="50"/>
          <w:szCs w:val="50"/>
        </w:rPr>
        <w:t>Human Rights Complaint Report</w:t>
      </w:r>
    </w:p>
    <w:p w14:paraId="727E84EC" w14:textId="7362D256" w:rsidR="00806B4B" w:rsidRPr="0095456C" w:rsidRDefault="0095456C" w:rsidP="0095456C">
      <w:pPr>
        <w:tabs>
          <w:tab w:val="left" w:pos="6162"/>
        </w:tabs>
        <w:spacing w:after="0"/>
        <w:rPr>
          <w:rFonts w:ascii="Bitter" w:hAnsi="Bitter"/>
          <w:color w:val="EE0000"/>
          <w:sz w:val="32"/>
          <w:szCs w:val="32"/>
        </w:rPr>
      </w:pPr>
      <w:r w:rsidRPr="0095456C">
        <w:rPr>
          <w:rFonts w:ascii="Bitter" w:hAnsi="Bitter"/>
          <w:color w:val="FFFFFF" w:themeColor="background1"/>
          <w:sz w:val="32"/>
          <w:szCs w:val="32"/>
        </w:rPr>
        <w:t>Prepared by the Office of Diversity &amp; Human Rights</w:t>
      </w:r>
      <w:r w:rsidRPr="0095456C">
        <w:rPr>
          <w:rFonts w:ascii="Bitter" w:hAnsi="Bitter"/>
          <w:color w:val="EE0000"/>
          <w:sz w:val="32"/>
          <w:szCs w:val="32"/>
        </w:rPr>
        <w:tab/>
      </w:r>
    </w:p>
    <w:p w14:paraId="46F5CAA4" w14:textId="77777777" w:rsidR="00806B4B" w:rsidRDefault="00806B4B" w:rsidP="00C34F96">
      <w:pPr>
        <w:rPr>
          <w:rFonts w:ascii="Bitter" w:hAnsi="Bitter"/>
          <w:b/>
          <w:bCs/>
          <w:color w:val="EE0000"/>
          <w:sz w:val="28"/>
          <w:szCs w:val="28"/>
        </w:rPr>
      </w:pPr>
    </w:p>
    <w:p w14:paraId="6CA160D6" w14:textId="77777777" w:rsidR="0095456C" w:rsidRDefault="0095456C" w:rsidP="00C34F96">
      <w:pPr>
        <w:rPr>
          <w:rFonts w:ascii="Bitter" w:hAnsi="Bitter"/>
          <w:b/>
          <w:bCs/>
          <w:color w:val="E51937"/>
          <w:sz w:val="28"/>
          <w:szCs w:val="28"/>
        </w:rPr>
      </w:pPr>
    </w:p>
    <w:p w14:paraId="313C7C57" w14:textId="4496EA25" w:rsidR="00431BE5" w:rsidRPr="0095456C" w:rsidRDefault="00431BE5" w:rsidP="00C34F96">
      <w:pPr>
        <w:rPr>
          <w:rFonts w:ascii="Bitter" w:hAnsi="Bitter"/>
          <w:b/>
          <w:bCs/>
          <w:color w:val="E51937"/>
          <w:sz w:val="28"/>
          <w:szCs w:val="28"/>
        </w:rPr>
      </w:pPr>
      <w:r w:rsidRPr="0095456C">
        <w:rPr>
          <w:rFonts w:ascii="Bitter" w:hAnsi="Bitter"/>
          <w:b/>
          <w:bCs/>
          <w:color w:val="E51937"/>
          <w:sz w:val="28"/>
          <w:szCs w:val="28"/>
        </w:rPr>
        <w:lastRenderedPageBreak/>
        <w:t>Background Information</w:t>
      </w:r>
    </w:p>
    <w:p w14:paraId="3AC6F615" w14:textId="182040FA" w:rsidR="00431BE5" w:rsidRPr="00B8481E" w:rsidRDefault="00431BE5" w:rsidP="00C34F96">
      <w:pPr>
        <w:rPr>
          <w:sz w:val="22"/>
        </w:rPr>
      </w:pPr>
      <w:r w:rsidRPr="00B8481E">
        <w:rPr>
          <w:sz w:val="22"/>
        </w:rPr>
        <w:t>Since 2019, Ontario and Canada have experienced a significant and sustained rise in discrimination, harassment, human rights violations, and hate-motivated incidents. Nationally, polic</w:t>
      </w:r>
      <w:r>
        <w:rPr>
          <w:sz w:val="22"/>
        </w:rPr>
        <w:t xml:space="preserve">e </w:t>
      </w:r>
      <w:r w:rsidRPr="00B8481E">
        <w:rPr>
          <w:sz w:val="22"/>
        </w:rPr>
        <w:t xml:space="preserve">reported hate crimes reached 4,777 incidents in 2023, representing a 32% increase from 2022 and marking the third major rise in four years. Ontario continues to be disproportionately affected, reporting the highest hate crime rate in the country at 12.7 incidents per 100,000 residents in 2022. </w:t>
      </w:r>
    </w:p>
    <w:p w14:paraId="20252D5F" w14:textId="6AE3D4F3" w:rsidR="00431BE5" w:rsidRDefault="00431BE5" w:rsidP="00C34F96">
      <w:pPr>
        <w:rPr>
          <w:sz w:val="22"/>
        </w:rPr>
      </w:pPr>
      <w:r w:rsidRPr="00B8481E">
        <w:rPr>
          <w:sz w:val="22"/>
        </w:rPr>
        <w:t>The escalation has intensified since October 7, 2023, with polic</w:t>
      </w:r>
      <w:r>
        <w:rPr>
          <w:sz w:val="22"/>
        </w:rPr>
        <w:t>e</w:t>
      </w:r>
      <w:r w:rsidRPr="00B8481E">
        <w:rPr>
          <w:sz w:val="22"/>
        </w:rPr>
        <w:t xml:space="preserve"> and community organizations noting unprecedented increases in antisemitic hate crimes and hate crimes targeting Muslim communities. These trends are mirrored in digital spaces: 71% of young Canadians report encountering online hate content, according to Statistics Canada. Despite these increases, incidents remain widely underreported. The Canadian Anti-Hate Network estimates that less than 1% of hate incidents are ever brought to police. For example, while 223,000 self-reported hate incidents occurred in 2019, only 1951 led to police reports. </w:t>
      </w:r>
    </w:p>
    <w:p w14:paraId="1DC13B9B" w14:textId="77777777" w:rsidR="00431BE5" w:rsidRPr="00B8481E" w:rsidRDefault="00431BE5" w:rsidP="00C34F96">
      <w:pPr>
        <w:rPr>
          <w:sz w:val="22"/>
        </w:rPr>
      </w:pPr>
    </w:p>
    <w:p w14:paraId="4D4A4EE8" w14:textId="77777777" w:rsidR="00431BE5" w:rsidRPr="0095456C" w:rsidRDefault="00431BE5" w:rsidP="00C34F96">
      <w:pPr>
        <w:rPr>
          <w:rFonts w:ascii="Bitter" w:hAnsi="Bitter"/>
          <w:b/>
          <w:bCs/>
          <w:color w:val="E51937"/>
          <w:sz w:val="28"/>
          <w:szCs w:val="28"/>
        </w:rPr>
      </w:pPr>
      <w:r w:rsidRPr="0095456C">
        <w:rPr>
          <w:rFonts w:ascii="Bitter" w:hAnsi="Bitter"/>
          <w:b/>
          <w:bCs/>
          <w:color w:val="E51937"/>
          <w:sz w:val="28"/>
          <w:szCs w:val="28"/>
        </w:rPr>
        <w:t>Bill 166: Context and Institutional Responsibilities</w:t>
      </w:r>
    </w:p>
    <w:p w14:paraId="36C1F95E" w14:textId="77777777" w:rsidR="00431BE5" w:rsidRPr="00B8481E" w:rsidRDefault="00431BE5" w:rsidP="00C34F96">
      <w:pPr>
        <w:rPr>
          <w:sz w:val="22"/>
        </w:rPr>
      </w:pPr>
      <w:r w:rsidRPr="00B8481E">
        <w:rPr>
          <w:sz w:val="22"/>
        </w:rPr>
        <w:t xml:space="preserve">In response to rising hate and discrimination across Ontario, the provincial government introduced Bill 166, the Strengthening Accountability and student Supports Act (2024). The legislation imposes new requirements on all publicly assisted colleges and universities to enhance transparency, accountability, and institutional readiness in addressing racism, hate, discrimination, and violence. </w:t>
      </w:r>
    </w:p>
    <w:p w14:paraId="4A8851E1" w14:textId="77777777" w:rsidR="00431BE5" w:rsidRPr="00B8481E" w:rsidRDefault="00431BE5" w:rsidP="00C34F96">
      <w:pPr>
        <w:rPr>
          <w:sz w:val="22"/>
        </w:rPr>
      </w:pPr>
      <w:r w:rsidRPr="00B8481E">
        <w:rPr>
          <w:sz w:val="22"/>
        </w:rPr>
        <w:t>Under Bill 166, Ontario post secondary institutions must:</w:t>
      </w:r>
    </w:p>
    <w:p w14:paraId="6ABA108F" w14:textId="77777777" w:rsidR="00431BE5" w:rsidRPr="00B8481E" w:rsidRDefault="00431BE5" w:rsidP="00C34F96">
      <w:pPr>
        <w:pStyle w:val="ListParagraph"/>
        <w:numPr>
          <w:ilvl w:val="0"/>
          <w:numId w:val="1"/>
        </w:numPr>
        <w:rPr>
          <w:sz w:val="22"/>
        </w:rPr>
      </w:pPr>
      <w:r w:rsidRPr="00B8481E">
        <w:rPr>
          <w:sz w:val="22"/>
        </w:rPr>
        <w:t xml:space="preserve">Develop and maintain anti-racism and anti-hate policies and rules, including clear definitions and standards of conduct. </w:t>
      </w:r>
    </w:p>
    <w:p w14:paraId="7F1A2665" w14:textId="77777777" w:rsidR="00431BE5" w:rsidRPr="00B8481E" w:rsidRDefault="00431BE5" w:rsidP="00C34F96">
      <w:pPr>
        <w:pStyle w:val="ListParagraph"/>
        <w:numPr>
          <w:ilvl w:val="0"/>
          <w:numId w:val="1"/>
        </w:numPr>
        <w:rPr>
          <w:sz w:val="22"/>
        </w:rPr>
      </w:pPr>
      <w:r w:rsidRPr="00B8481E">
        <w:rPr>
          <w:sz w:val="22"/>
        </w:rPr>
        <w:t xml:space="preserve">Report annually to their Board of Governors on the implementation and effectiveness of these policies. </w:t>
      </w:r>
    </w:p>
    <w:p w14:paraId="293FF8D6" w14:textId="77777777" w:rsidR="00431BE5" w:rsidRPr="00B8481E" w:rsidRDefault="00431BE5" w:rsidP="00C34F96">
      <w:pPr>
        <w:pStyle w:val="ListParagraph"/>
        <w:numPr>
          <w:ilvl w:val="0"/>
          <w:numId w:val="1"/>
        </w:numPr>
        <w:rPr>
          <w:sz w:val="22"/>
        </w:rPr>
      </w:pPr>
      <w:r w:rsidRPr="00B8481E">
        <w:rPr>
          <w:sz w:val="22"/>
        </w:rPr>
        <w:t xml:space="preserve">Publicly post each annual report to support sector-wide accountability and transparency. </w:t>
      </w:r>
    </w:p>
    <w:p w14:paraId="163A053C" w14:textId="77777777" w:rsidR="00431BE5" w:rsidRPr="00B8481E" w:rsidRDefault="00431BE5" w:rsidP="00C34F96">
      <w:pPr>
        <w:pStyle w:val="ListParagraph"/>
        <w:numPr>
          <w:ilvl w:val="0"/>
          <w:numId w:val="1"/>
        </w:numPr>
        <w:rPr>
          <w:sz w:val="22"/>
        </w:rPr>
      </w:pPr>
      <w:r w:rsidRPr="00B8481E">
        <w:rPr>
          <w:sz w:val="22"/>
        </w:rPr>
        <w:t xml:space="preserve">Establish and communicate complaint pathways, ensuring students, staff, and faculty understand how to seek support and report incidents. </w:t>
      </w:r>
    </w:p>
    <w:p w14:paraId="4AE779F5" w14:textId="77777777" w:rsidR="00431BE5" w:rsidRPr="00B8481E" w:rsidRDefault="00431BE5" w:rsidP="00C34F96">
      <w:pPr>
        <w:pStyle w:val="ListParagraph"/>
        <w:numPr>
          <w:ilvl w:val="0"/>
          <w:numId w:val="1"/>
        </w:numPr>
        <w:rPr>
          <w:sz w:val="22"/>
        </w:rPr>
      </w:pPr>
      <w:r w:rsidRPr="00B8481E">
        <w:rPr>
          <w:sz w:val="22"/>
        </w:rPr>
        <w:t xml:space="preserve">Demonstrate ongoing efforts to foster safe, inclusive, and respectful learning and working environments. </w:t>
      </w:r>
    </w:p>
    <w:p w14:paraId="2D3E7775" w14:textId="77777777" w:rsidR="00431BE5" w:rsidRDefault="00431BE5" w:rsidP="00C34F96">
      <w:pPr>
        <w:rPr>
          <w:sz w:val="22"/>
        </w:rPr>
      </w:pPr>
      <w:r w:rsidRPr="00B8481E">
        <w:rPr>
          <w:sz w:val="22"/>
        </w:rPr>
        <w:t xml:space="preserve">The deadline for compliance was January 2025, and post-secondary institutions are required to submit annual reports to the ministry and make them publicly available every subsequent January. The University of Guelph’s annual Anti-Racism and Anti-Hate Report is a direct requirement of Bill 166, and this submission to the Board of Governors Governance Committee forms part of the University’s compliance process. </w:t>
      </w:r>
    </w:p>
    <w:p w14:paraId="595B5DC8" w14:textId="77777777" w:rsidR="00431BE5" w:rsidRPr="00B8481E" w:rsidRDefault="00431BE5" w:rsidP="00C34F96">
      <w:pPr>
        <w:rPr>
          <w:sz w:val="22"/>
        </w:rPr>
      </w:pPr>
    </w:p>
    <w:p w14:paraId="34DF39CF" w14:textId="77777777" w:rsidR="0095456C" w:rsidRDefault="0095456C" w:rsidP="00C34F96">
      <w:pPr>
        <w:rPr>
          <w:rFonts w:ascii="Bitter" w:hAnsi="Bitter"/>
          <w:b/>
          <w:bCs/>
          <w:color w:val="E51937"/>
          <w:sz w:val="28"/>
          <w:szCs w:val="28"/>
        </w:rPr>
      </w:pPr>
    </w:p>
    <w:p w14:paraId="539F3EBF" w14:textId="77777777" w:rsidR="0095456C" w:rsidRDefault="0095456C" w:rsidP="00C34F96">
      <w:pPr>
        <w:rPr>
          <w:rFonts w:ascii="Bitter" w:hAnsi="Bitter"/>
          <w:b/>
          <w:bCs/>
          <w:color w:val="E51937"/>
          <w:sz w:val="28"/>
          <w:szCs w:val="28"/>
        </w:rPr>
      </w:pPr>
    </w:p>
    <w:p w14:paraId="1AF2F0DE" w14:textId="77777777" w:rsidR="0095456C" w:rsidRDefault="0095456C" w:rsidP="00C34F96">
      <w:pPr>
        <w:rPr>
          <w:rFonts w:ascii="Bitter" w:hAnsi="Bitter"/>
          <w:b/>
          <w:bCs/>
          <w:color w:val="E51937"/>
          <w:sz w:val="28"/>
          <w:szCs w:val="28"/>
        </w:rPr>
      </w:pPr>
    </w:p>
    <w:p w14:paraId="62D0964B" w14:textId="77777777" w:rsidR="0095456C" w:rsidRDefault="0095456C" w:rsidP="00C34F96">
      <w:pPr>
        <w:rPr>
          <w:rFonts w:ascii="Bitter" w:hAnsi="Bitter"/>
          <w:b/>
          <w:bCs/>
          <w:color w:val="E51937"/>
          <w:sz w:val="28"/>
          <w:szCs w:val="28"/>
        </w:rPr>
      </w:pPr>
    </w:p>
    <w:p w14:paraId="07CC1B7E" w14:textId="77777777" w:rsidR="0095456C" w:rsidRDefault="0095456C" w:rsidP="00C34F96">
      <w:pPr>
        <w:rPr>
          <w:rFonts w:ascii="Bitter" w:hAnsi="Bitter"/>
          <w:b/>
          <w:bCs/>
          <w:color w:val="E51937"/>
          <w:sz w:val="28"/>
          <w:szCs w:val="28"/>
        </w:rPr>
      </w:pPr>
    </w:p>
    <w:p w14:paraId="18904BED" w14:textId="77777777" w:rsidR="0095456C" w:rsidRDefault="0095456C" w:rsidP="00C34F96">
      <w:pPr>
        <w:rPr>
          <w:rFonts w:ascii="Bitter" w:hAnsi="Bitter"/>
          <w:b/>
          <w:bCs/>
          <w:color w:val="E51937"/>
          <w:sz w:val="28"/>
          <w:szCs w:val="28"/>
        </w:rPr>
      </w:pPr>
    </w:p>
    <w:p w14:paraId="507999F8" w14:textId="3C475B8F" w:rsidR="00431BE5" w:rsidRPr="0095456C" w:rsidRDefault="00431BE5" w:rsidP="00C34F96">
      <w:pPr>
        <w:rPr>
          <w:rFonts w:ascii="Bitter" w:hAnsi="Bitter"/>
          <w:b/>
          <w:bCs/>
          <w:color w:val="E51937"/>
          <w:sz w:val="28"/>
          <w:szCs w:val="28"/>
        </w:rPr>
      </w:pPr>
      <w:r w:rsidRPr="0095456C">
        <w:rPr>
          <w:rFonts w:ascii="Bitter" w:hAnsi="Bitter"/>
          <w:b/>
          <w:bCs/>
          <w:color w:val="E51937"/>
          <w:sz w:val="28"/>
          <w:szCs w:val="28"/>
        </w:rPr>
        <w:lastRenderedPageBreak/>
        <w:t>Human Rights Complaints Process at U of G</w:t>
      </w:r>
    </w:p>
    <w:p w14:paraId="6414B075" w14:textId="77777777" w:rsidR="00431BE5" w:rsidRPr="00B8481E" w:rsidRDefault="00431BE5" w:rsidP="00C34F96">
      <w:pPr>
        <w:rPr>
          <w:sz w:val="22"/>
        </w:rPr>
      </w:pPr>
      <w:r w:rsidRPr="00B8481E">
        <w:rPr>
          <w:sz w:val="22"/>
        </w:rPr>
        <w:t>Within this broader legislative and social context, the University play</w:t>
      </w:r>
      <w:r>
        <w:rPr>
          <w:sz w:val="22"/>
        </w:rPr>
        <w:t>s</w:t>
      </w:r>
      <w:r w:rsidRPr="00B8481E">
        <w:rPr>
          <w:sz w:val="22"/>
        </w:rPr>
        <w:t xml:space="preserve"> an essential role in addressing </w:t>
      </w:r>
      <w:r>
        <w:rPr>
          <w:sz w:val="22"/>
        </w:rPr>
        <w:t xml:space="preserve">complaints of </w:t>
      </w:r>
      <w:r w:rsidRPr="00B8481E">
        <w:rPr>
          <w:sz w:val="22"/>
        </w:rPr>
        <w:t xml:space="preserve">discrimination and harassment through its </w:t>
      </w:r>
      <w:hyperlink r:id="rId6" w:history="1">
        <w:r w:rsidRPr="00DA4F59">
          <w:rPr>
            <w:rStyle w:val="Hyperlink"/>
            <w:sz w:val="22"/>
          </w:rPr>
          <w:t>Human Rights Policy and Procedures</w:t>
        </w:r>
      </w:hyperlink>
      <w:r w:rsidRPr="00B8481E">
        <w:rPr>
          <w:sz w:val="22"/>
        </w:rPr>
        <w:t xml:space="preserve"> administered by the Office of Diversity and Human Rights (DHR). Complaints involving protected grounds</w:t>
      </w:r>
      <w:r>
        <w:rPr>
          <w:sz w:val="22"/>
        </w:rPr>
        <w:t xml:space="preserve"> (including but not limited </w:t>
      </w:r>
      <w:proofErr w:type="gramStart"/>
      <w:r>
        <w:rPr>
          <w:sz w:val="22"/>
        </w:rPr>
        <w:t>to:</w:t>
      </w:r>
      <w:proofErr w:type="gramEnd"/>
      <w:r>
        <w:rPr>
          <w:sz w:val="22"/>
        </w:rPr>
        <w:t xml:space="preserve"> disability, race, gender, ethnic origin, creed, gender identity or expression)</w:t>
      </w:r>
      <w:r w:rsidRPr="00B8481E">
        <w:rPr>
          <w:sz w:val="22"/>
        </w:rPr>
        <w:t xml:space="preserve"> under the Ontario Human Rights Code or the University’s Human Rights Policy are addressed through a structured process involving three key stages:</w:t>
      </w:r>
    </w:p>
    <w:p w14:paraId="08C271E4" w14:textId="77777777" w:rsidR="00431BE5" w:rsidRPr="00B8481E" w:rsidRDefault="00431BE5" w:rsidP="00C34F96">
      <w:pPr>
        <w:pStyle w:val="ListParagraph"/>
        <w:numPr>
          <w:ilvl w:val="0"/>
          <w:numId w:val="2"/>
        </w:numPr>
        <w:rPr>
          <w:b/>
          <w:bCs/>
          <w:sz w:val="22"/>
        </w:rPr>
      </w:pPr>
      <w:r w:rsidRPr="00B8481E">
        <w:rPr>
          <w:b/>
          <w:bCs/>
          <w:sz w:val="22"/>
        </w:rPr>
        <w:t>Intake</w:t>
      </w:r>
      <w:r w:rsidRPr="00B8481E">
        <w:rPr>
          <w:sz w:val="22"/>
        </w:rPr>
        <w:t xml:space="preserve"> –</w:t>
      </w:r>
      <w:r w:rsidRPr="00B8481E">
        <w:rPr>
          <w:b/>
          <w:bCs/>
          <w:sz w:val="22"/>
        </w:rPr>
        <w:t xml:space="preserve"> </w:t>
      </w:r>
      <w:r w:rsidRPr="00B8481E">
        <w:rPr>
          <w:sz w:val="22"/>
        </w:rPr>
        <w:t xml:space="preserve">Individuals connect with </w:t>
      </w:r>
      <w:r>
        <w:rPr>
          <w:sz w:val="22"/>
        </w:rPr>
        <w:t xml:space="preserve">a qualified, Human Rights Advisor at DHR </w:t>
      </w:r>
      <w:r w:rsidRPr="00B8481E">
        <w:rPr>
          <w:sz w:val="22"/>
        </w:rPr>
        <w:t xml:space="preserve">to ask questions and share concerns. DHR provides information about relevant legislation and policy, along with the available resolution pathways, </w:t>
      </w:r>
      <w:r>
        <w:rPr>
          <w:sz w:val="22"/>
        </w:rPr>
        <w:t xml:space="preserve">and </w:t>
      </w:r>
      <w:r w:rsidRPr="00B8481E">
        <w:rPr>
          <w:sz w:val="22"/>
        </w:rPr>
        <w:t>support</w:t>
      </w:r>
      <w:r>
        <w:rPr>
          <w:sz w:val="22"/>
        </w:rPr>
        <w:t>s</w:t>
      </w:r>
      <w:r w:rsidRPr="00B8481E">
        <w:rPr>
          <w:sz w:val="22"/>
        </w:rPr>
        <w:t xml:space="preserve"> individuals in making informed decisions</w:t>
      </w:r>
      <w:r>
        <w:rPr>
          <w:sz w:val="22"/>
        </w:rPr>
        <w:t xml:space="preserve"> about next steps</w:t>
      </w:r>
      <w:r w:rsidRPr="00B8481E">
        <w:rPr>
          <w:sz w:val="22"/>
        </w:rPr>
        <w:t xml:space="preserve">. </w:t>
      </w:r>
    </w:p>
    <w:p w14:paraId="2697F532" w14:textId="77777777" w:rsidR="00431BE5" w:rsidRPr="00B8481E" w:rsidRDefault="00431BE5" w:rsidP="00C34F96">
      <w:pPr>
        <w:pStyle w:val="ListParagraph"/>
        <w:numPr>
          <w:ilvl w:val="0"/>
          <w:numId w:val="2"/>
        </w:numPr>
        <w:rPr>
          <w:sz w:val="22"/>
        </w:rPr>
      </w:pPr>
      <w:r w:rsidRPr="00B8481E">
        <w:rPr>
          <w:b/>
          <w:bCs/>
          <w:sz w:val="22"/>
        </w:rPr>
        <w:t>Assessment</w:t>
      </w:r>
      <w:r w:rsidRPr="00B8481E">
        <w:rPr>
          <w:sz w:val="22"/>
        </w:rPr>
        <w:t xml:space="preserve"> – DHR clarifies the issues, explores the complainant’s goals, identifies appropriate supports</w:t>
      </w:r>
      <w:r>
        <w:rPr>
          <w:sz w:val="22"/>
        </w:rPr>
        <w:t xml:space="preserve"> and outlines </w:t>
      </w:r>
      <w:r w:rsidRPr="00B8481E">
        <w:rPr>
          <w:sz w:val="22"/>
        </w:rPr>
        <w:t xml:space="preserve">resolution options </w:t>
      </w:r>
      <w:r>
        <w:rPr>
          <w:sz w:val="22"/>
        </w:rPr>
        <w:t xml:space="preserve">that </w:t>
      </w:r>
      <w:r w:rsidRPr="00B8481E">
        <w:rPr>
          <w:sz w:val="22"/>
        </w:rPr>
        <w:t>may best address the concern</w:t>
      </w:r>
      <w:r>
        <w:rPr>
          <w:sz w:val="22"/>
        </w:rPr>
        <w:t xml:space="preserve"> and the goals of the complainant.</w:t>
      </w:r>
    </w:p>
    <w:p w14:paraId="2EA64FF0" w14:textId="77777777" w:rsidR="00431BE5" w:rsidRPr="00B8481E" w:rsidRDefault="00431BE5" w:rsidP="00C34F96">
      <w:pPr>
        <w:pStyle w:val="ListParagraph"/>
        <w:numPr>
          <w:ilvl w:val="0"/>
          <w:numId w:val="2"/>
        </w:numPr>
        <w:rPr>
          <w:b/>
          <w:bCs/>
          <w:sz w:val="22"/>
        </w:rPr>
      </w:pPr>
      <w:r w:rsidRPr="00B8481E">
        <w:rPr>
          <w:b/>
          <w:bCs/>
          <w:sz w:val="22"/>
        </w:rPr>
        <w:t xml:space="preserve">Resolutions Options </w:t>
      </w:r>
    </w:p>
    <w:p w14:paraId="3D557CAF" w14:textId="77777777" w:rsidR="00431BE5" w:rsidRPr="00B8481E" w:rsidRDefault="00431BE5" w:rsidP="00C34F96">
      <w:pPr>
        <w:pStyle w:val="ListParagraph"/>
        <w:rPr>
          <w:b/>
          <w:bCs/>
          <w:sz w:val="22"/>
        </w:rPr>
      </w:pPr>
      <w:r w:rsidRPr="00B8481E">
        <w:rPr>
          <w:b/>
          <w:bCs/>
          <w:sz w:val="22"/>
        </w:rPr>
        <w:t>Option 1: Early Resolution</w:t>
      </w:r>
    </w:p>
    <w:p w14:paraId="139D1EE4" w14:textId="77777777" w:rsidR="00431BE5" w:rsidRPr="00B8481E" w:rsidRDefault="00431BE5" w:rsidP="00C34F96">
      <w:pPr>
        <w:pStyle w:val="ListParagraph"/>
        <w:rPr>
          <w:sz w:val="22"/>
        </w:rPr>
      </w:pPr>
      <w:r w:rsidRPr="00B8481E">
        <w:rPr>
          <w:sz w:val="22"/>
        </w:rPr>
        <w:t>Early, informal approaches to resolving a concern outside of the formal complaint process. These may include:</w:t>
      </w:r>
    </w:p>
    <w:p w14:paraId="0DB6D817" w14:textId="77777777" w:rsidR="00431BE5" w:rsidRPr="00B8481E" w:rsidRDefault="00431BE5" w:rsidP="00C34F96">
      <w:pPr>
        <w:pStyle w:val="ListParagraph"/>
        <w:numPr>
          <w:ilvl w:val="0"/>
          <w:numId w:val="3"/>
        </w:numPr>
        <w:rPr>
          <w:sz w:val="22"/>
        </w:rPr>
      </w:pPr>
      <w:r w:rsidRPr="00B8481E">
        <w:rPr>
          <w:sz w:val="22"/>
        </w:rPr>
        <w:t>Personal Resolution (with or without DHR support)</w:t>
      </w:r>
    </w:p>
    <w:p w14:paraId="3A8C93DE" w14:textId="77777777" w:rsidR="00431BE5" w:rsidRPr="00B8481E" w:rsidRDefault="00431BE5" w:rsidP="00C34F96">
      <w:pPr>
        <w:pStyle w:val="ListParagraph"/>
        <w:numPr>
          <w:ilvl w:val="0"/>
          <w:numId w:val="3"/>
        </w:numPr>
        <w:rPr>
          <w:sz w:val="22"/>
        </w:rPr>
      </w:pPr>
      <w:r w:rsidRPr="00B8481E">
        <w:rPr>
          <w:sz w:val="22"/>
        </w:rPr>
        <w:t>Personal Resolution with DHR assistance (requiring informed consent where applicable)</w:t>
      </w:r>
    </w:p>
    <w:p w14:paraId="3E117740" w14:textId="77777777" w:rsidR="00431BE5" w:rsidRPr="00B8481E" w:rsidRDefault="00431BE5" w:rsidP="00C34F96">
      <w:pPr>
        <w:pStyle w:val="ListParagraph"/>
        <w:numPr>
          <w:ilvl w:val="0"/>
          <w:numId w:val="3"/>
        </w:numPr>
        <w:rPr>
          <w:sz w:val="22"/>
        </w:rPr>
      </w:pPr>
      <w:r w:rsidRPr="00B8481E">
        <w:rPr>
          <w:sz w:val="22"/>
        </w:rPr>
        <w:t>Alternative Resolution, supported by a neutral</w:t>
      </w:r>
      <w:r>
        <w:rPr>
          <w:sz w:val="22"/>
        </w:rPr>
        <w:t>,</w:t>
      </w:r>
      <w:r w:rsidRPr="00B8481E">
        <w:rPr>
          <w:sz w:val="22"/>
        </w:rPr>
        <w:t xml:space="preserve"> </w:t>
      </w:r>
      <w:r>
        <w:rPr>
          <w:sz w:val="22"/>
        </w:rPr>
        <w:t xml:space="preserve">trained </w:t>
      </w:r>
      <w:r w:rsidRPr="00B8481E">
        <w:rPr>
          <w:sz w:val="22"/>
        </w:rPr>
        <w:t>facilitator</w:t>
      </w:r>
    </w:p>
    <w:p w14:paraId="2C31F884" w14:textId="2129A790" w:rsidR="00431BE5" w:rsidRPr="00B8481E" w:rsidRDefault="00431BE5" w:rsidP="00431BE5">
      <w:pPr>
        <w:ind w:left="720"/>
        <w:rPr>
          <w:sz w:val="22"/>
        </w:rPr>
      </w:pPr>
      <w:r w:rsidRPr="00B8481E">
        <w:rPr>
          <w:sz w:val="22"/>
        </w:rPr>
        <w:t xml:space="preserve">These pathways emphasize timeliness, flexibility, and restoring working or learning relationships where possible. </w:t>
      </w:r>
    </w:p>
    <w:p w14:paraId="1417BCA4" w14:textId="77777777" w:rsidR="00431BE5" w:rsidRPr="00B8481E" w:rsidRDefault="00431BE5" w:rsidP="00C34F96">
      <w:pPr>
        <w:rPr>
          <w:b/>
          <w:bCs/>
          <w:sz w:val="22"/>
        </w:rPr>
      </w:pPr>
      <w:r w:rsidRPr="00B8481E">
        <w:rPr>
          <w:b/>
          <w:bCs/>
          <w:sz w:val="22"/>
        </w:rPr>
        <w:tab/>
        <w:t>Option 2: Formal Complaint Resolution</w:t>
      </w:r>
    </w:p>
    <w:p w14:paraId="6DACAD80" w14:textId="77777777" w:rsidR="00431BE5" w:rsidRPr="00B8481E" w:rsidRDefault="00431BE5" w:rsidP="00C34F96">
      <w:pPr>
        <w:ind w:left="720"/>
        <w:rPr>
          <w:sz w:val="22"/>
        </w:rPr>
      </w:pPr>
      <w:r w:rsidRPr="00B8481E">
        <w:rPr>
          <w:sz w:val="22"/>
        </w:rPr>
        <w:t>A structured investigation completed by an independent Fact-Finding Team or</w:t>
      </w:r>
      <w:r>
        <w:rPr>
          <w:sz w:val="22"/>
        </w:rPr>
        <w:t xml:space="preserve"> trained</w:t>
      </w:r>
      <w:r w:rsidRPr="00B8481E">
        <w:rPr>
          <w:sz w:val="22"/>
        </w:rPr>
        <w:t xml:space="preserve"> Investigator, who reviews evidence and prepares </w:t>
      </w:r>
      <w:proofErr w:type="gramStart"/>
      <w:r w:rsidRPr="00B8481E">
        <w:rPr>
          <w:sz w:val="22"/>
        </w:rPr>
        <w:t>a findings</w:t>
      </w:r>
      <w:proofErr w:type="gramEnd"/>
      <w:r w:rsidRPr="00B8481E">
        <w:rPr>
          <w:sz w:val="22"/>
        </w:rPr>
        <w:t xml:space="preserve"> report under the University’s Human Rights Procedures. </w:t>
      </w:r>
    </w:p>
    <w:p w14:paraId="1489041C" w14:textId="77777777" w:rsidR="00431BE5" w:rsidRDefault="00431BE5" w:rsidP="00C34F96">
      <w:pPr>
        <w:rPr>
          <w:sz w:val="22"/>
        </w:rPr>
      </w:pPr>
      <w:r w:rsidRPr="00B8481E">
        <w:rPr>
          <w:sz w:val="22"/>
        </w:rPr>
        <w:t>Together, these processes support the University’s obligations under Bill 166, strengthen institutional accountability, and ensure that community members have clea</w:t>
      </w:r>
      <w:r>
        <w:rPr>
          <w:sz w:val="22"/>
        </w:rPr>
        <w:t>r, transparent</w:t>
      </w:r>
      <w:r w:rsidRPr="00B8481E">
        <w:rPr>
          <w:sz w:val="22"/>
        </w:rPr>
        <w:t xml:space="preserve"> and accessible pathways to address discrimination, harassment, and hate. </w:t>
      </w:r>
    </w:p>
    <w:p w14:paraId="676F5C58" w14:textId="77777777" w:rsidR="00431BE5" w:rsidRDefault="00431BE5" w:rsidP="00C34F96">
      <w:pPr>
        <w:rPr>
          <w:sz w:val="22"/>
        </w:rPr>
      </w:pPr>
    </w:p>
    <w:p w14:paraId="4E0A505B" w14:textId="77777777" w:rsidR="00806B4B" w:rsidRDefault="00806B4B" w:rsidP="00C34F96">
      <w:pPr>
        <w:rPr>
          <w:rFonts w:ascii="Bitter" w:hAnsi="Bitter"/>
          <w:b/>
          <w:bCs/>
          <w:color w:val="EE0000"/>
          <w:sz w:val="28"/>
          <w:szCs w:val="28"/>
        </w:rPr>
      </w:pPr>
    </w:p>
    <w:p w14:paraId="787E4145" w14:textId="77777777" w:rsidR="00806B4B" w:rsidRDefault="00806B4B" w:rsidP="00C34F96">
      <w:pPr>
        <w:rPr>
          <w:rFonts w:ascii="Bitter" w:hAnsi="Bitter"/>
          <w:b/>
          <w:bCs/>
          <w:color w:val="EE0000"/>
          <w:sz w:val="28"/>
          <w:szCs w:val="28"/>
        </w:rPr>
      </w:pPr>
    </w:p>
    <w:p w14:paraId="3A51C489" w14:textId="77777777" w:rsidR="00806B4B" w:rsidRDefault="00806B4B" w:rsidP="00C34F96">
      <w:pPr>
        <w:rPr>
          <w:rFonts w:ascii="Bitter" w:hAnsi="Bitter"/>
          <w:b/>
          <w:bCs/>
          <w:color w:val="EE0000"/>
          <w:sz w:val="28"/>
          <w:szCs w:val="28"/>
        </w:rPr>
      </w:pPr>
    </w:p>
    <w:p w14:paraId="50435FD1" w14:textId="77777777" w:rsidR="00806B4B" w:rsidRDefault="00806B4B" w:rsidP="00C34F96">
      <w:pPr>
        <w:rPr>
          <w:rFonts w:ascii="Bitter" w:hAnsi="Bitter"/>
          <w:b/>
          <w:bCs/>
          <w:color w:val="EE0000"/>
          <w:sz w:val="28"/>
          <w:szCs w:val="28"/>
        </w:rPr>
      </w:pPr>
    </w:p>
    <w:p w14:paraId="2A4D3623" w14:textId="77777777" w:rsidR="00806B4B" w:rsidRDefault="00806B4B" w:rsidP="00C34F96">
      <w:pPr>
        <w:rPr>
          <w:rFonts w:ascii="Bitter" w:hAnsi="Bitter"/>
          <w:b/>
          <w:bCs/>
          <w:color w:val="EE0000"/>
          <w:sz w:val="28"/>
          <w:szCs w:val="28"/>
        </w:rPr>
      </w:pPr>
    </w:p>
    <w:p w14:paraId="1FD3CD81" w14:textId="77777777" w:rsidR="00806B4B" w:rsidRDefault="00806B4B" w:rsidP="00C34F96">
      <w:pPr>
        <w:rPr>
          <w:rFonts w:ascii="Bitter" w:hAnsi="Bitter"/>
          <w:b/>
          <w:bCs/>
          <w:color w:val="EE0000"/>
          <w:sz w:val="28"/>
          <w:szCs w:val="28"/>
        </w:rPr>
      </w:pPr>
    </w:p>
    <w:p w14:paraId="0843993E" w14:textId="77777777" w:rsidR="00806B4B" w:rsidRDefault="00806B4B" w:rsidP="00C34F96">
      <w:pPr>
        <w:rPr>
          <w:rFonts w:ascii="Bitter" w:hAnsi="Bitter"/>
          <w:b/>
          <w:bCs/>
          <w:color w:val="EE0000"/>
          <w:sz w:val="28"/>
          <w:szCs w:val="28"/>
        </w:rPr>
      </w:pPr>
    </w:p>
    <w:p w14:paraId="42F6EAF7" w14:textId="77777777" w:rsidR="00806B4B" w:rsidRDefault="00806B4B" w:rsidP="00C34F96">
      <w:pPr>
        <w:rPr>
          <w:rFonts w:ascii="Bitter" w:hAnsi="Bitter"/>
          <w:b/>
          <w:bCs/>
          <w:color w:val="EE0000"/>
          <w:sz w:val="28"/>
          <w:szCs w:val="28"/>
        </w:rPr>
      </w:pPr>
    </w:p>
    <w:p w14:paraId="7055FEFC" w14:textId="1801E960" w:rsidR="00431BE5" w:rsidRPr="0095456C" w:rsidRDefault="00431BE5" w:rsidP="00C34F96">
      <w:pPr>
        <w:rPr>
          <w:rFonts w:ascii="Bitter" w:hAnsi="Bitter"/>
          <w:b/>
          <w:bCs/>
          <w:color w:val="E51937"/>
          <w:sz w:val="28"/>
          <w:szCs w:val="28"/>
        </w:rPr>
      </w:pPr>
      <w:r w:rsidRPr="0095456C">
        <w:rPr>
          <w:rFonts w:ascii="Bitter" w:hAnsi="Bitter"/>
          <w:b/>
          <w:bCs/>
          <w:color w:val="E51937"/>
          <w:sz w:val="28"/>
          <w:szCs w:val="28"/>
        </w:rPr>
        <w:lastRenderedPageBreak/>
        <w:t xml:space="preserve">U of G Human Rights Formal Complaint Numbers </w:t>
      </w:r>
    </w:p>
    <w:p w14:paraId="64326246" w14:textId="77777777" w:rsidR="00431BE5" w:rsidRPr="007D2451" w:rsidRDefault="00431BE5" w:rsidP="00C34F96">
      <w:pPr>
        <w:rPr>
          <w:sz w:val="22"/>
        </w:rPr>
      </w:pPr>
      <w:r w:rsidRPr="007D2451">
        <w:rPr>
          <w:sz w:val="22"/>
        </w:rPr>
        <w:t xml:space="preserve">In the 2025 calendar year, the Office of Diversity &amp; Human Rights received 4 formal complaints filed against the Human Rights Policy. Complaints that are dealt with through Early Resolution and/or the Formal Complaint Resolution Process include grounds of discrimination and harassment outlined under the Ontario Human Rights Code and the University of Guelph’s Human Rights Policy and Procedures. The Human Rights Policy provides for several options that complainants or supervisors can follow to resolve a concern. DHR provides information on all options during the intake process. </w:t>
      </w:r>
    </w:p>
    <w:p w14:paraId="7BF0F323" w14:textId="77777777" w:rsidR="00431BE5" w:rsidRPr="00734ACC" w:rsidRDefault="00431BE5" w:rsidP="00C34F96">
      <w:pPr>
        <w:rPr>
          <w:b/>
          <w:bCs/>
          <w:sz w:val="22"/>
          <w:u w:val="single"/>
        </w:rPr>
      </w:pPr>
      <w:r w:rsidRPr="00734ACC">
        <w:rPr>
          <w:b/>
          <w:bCs/>
          <w:sz w:val="22"/>
          <w:u w:val="single"/>
        </w:rPr>
        <w:t>Human Rights Cases in 2025 Identified Grounds</w:t>
      </w:r>
    </w:p>
    <w:p w14:paraId="65AC9281" w14:textId="77777777" w:rsidR="00431BE5" w:rsidRPr="007D2451" w:rsidRDefault="00431BE5" w:rsidP="00C34F96">
      <w:pPr>
        <w:rPr>
          <w:sz w:val="22"/>
        </w:rPr>
      </w:pPr>
      <w:r w:rsidRPr="007D2451">
        <w:rPr>
          <w:b/>
          <w:bCs/>
          <w:sz w:val="22"/>
        </w:rPr>
        <w:t xml:space="preserve">Race &amp; Related Grounds: </w:t>
      </w:r>
      <w:r>
        <w:rPr>
          <w:b/>
          <w:bCs/>
          <w:sz w:val="22"/>
        </w:rPr>
        <w:t>50%</w:t>
      </w:r>
    </w:p>
    <w:p w14:paraId="287D4465" w14:textId="77777777" w:rsidR="00431BE5" w:rsidRPr="007D2451" w:rsidRDefault="00431BE5" w:rsidP="00C34F96">
      <w:pPr>
        <w:rPr>
          <w:sz w:val="22"/>
        </w:rPr>
      </w:pPr>
      <w:r w:rsidRPr="007D2451">
        <w:rPr>
          <w:b/>
          <w:bCs/>
          <w:sz w:val="22"/>
        </w:rPr>
        <w:t xml:space="preserve">Sex, Gender Identity and Gender Expression: </w:t>
      </w:r>
      <w:r>
        <w:rPr>
          <w:b/>
          <w:bCs/>
          <w:sz w:val="22"/>
        </w:rPr>
        <w:t>25%</w:t>
      </w:r>
    </w:p>
    <w:p w14:paraId="68B58EE3" w14:textId="77777777" w:rsidR="00431BE5" w:rsidRDefault="00431BE5" w:rsidP="00C34F96">
      <w:pPr>
        <w:rPr>
          <w:b/>
          <w:bCs/>
          <w:sz w:val="22"/>
        </w:rPr>
      </w:pPr>
      <w:r w:rsidRPr="007D2451">
        <w:rPr>
          <w:b/>
          <w:bCs/>
          <w:sz w:val="22"/>
        </w:rPr>
        <w:t xml:space="preserve">Ethnic Origin: </w:t>
      </w:r>
      <w:r>
        <w:rPr>
          <w:b/>
          <w:bCs/>
          <w:sz w:val="22"/>
        </w:rPr>
        <w:t>25%</w:t>
      </w:r>
    </w:p>
    <w:p w14:paraId="18377D26" w14:textId="77777777" w:rsidR="00431BE5" w:rsidRPr="007D2451" w:rsidRDefault="00431BE5" w:rsidP="00C34F96">
      <w:pPr>
        <w:rPr>
          <w:sz w:val="22"/>
        </w:rPr>
      </w:pPr>
    </w:p>
    <w:p w14:paraId="7FC06748" w14:textId="77777777" w:rsidR="00431BE5" w:rsidRDefault="00431BE5" w:rsidP="00C34F96">
      <w:r w:rsidRPr="007D2451">
        <w:rPr>
          <w:b/>
          <w:bCs/>
        </w:rPr>
        <w:t>NOTE:</w:t>
      </w:r>
      <w:r>
        <w:t xml:space="preserve"> a single case may involve multiple human rights grounds. </w:t>
      </w:r>
    </w:p>
    <w:p w14:paraId="0AC9C9AA" w14:textId="77777777" w:rsidR="00431BE5" w:rsidRDefault="00431BE5" w:rsidP="00C34F96"/>
    <w:p w14:paraId="0BA3F767" w14:textId="796C446B" w:rsidR="00431BE5" w:rsidRDefault="00806B4B" w:rsidP="00C34F96">
      <w:r>
        <w:rPr>
          <w:noProof/>
        </w:rPr>
        <w:drawing>
          <wp:anchor distT="0" distB="0" distL="114300" distR="114300" simplePos="0" relativeHeight="251660288" behindDoc="0" locked="0" layoutInCell="1" allowOverlap="1" wp14:anchorId="52724107" wp14:editId="4989B2BC">
            <wp:simplePos x="0" y="0"/>
            <wp:positionH relativeFrom="margin">
              <wp:align>left</wp:align>
            </wp:positionH>
            <wp:positionV relativeFrom="paragraph">
              <wp:posOffset>268605</wp:posOffset>
            </wp:positionV>
            <wp:extent cx="4182110" cy="2226310"/>
            <wp:effectExtent l="0" t="0" r="8890" b="2540"/>
            <wp:wrapSquare wrapText="bothSides"/>
            <wp:docPr id="13227099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2B238B50" w14:textId="30885687" w:rsidR="00431BE5" w:rsidRDefault="00431BE5" w:rsidP="00C34F96">
      <w:r>
        <w:br w:type="textWrapping" w:clear="all"/>
      </w:r>
    </w:p>
    <w:p w14:paraId="6F4D6C77" w14:textId="77777777" w:rsidR="00431BE5" w:rsidRDefault="00431BE5" w:rsidP="00C34F96"/>
    <w:p w14:paraId="27DF5362" w14:textId="77777777" w:rsidR="00431BE5" w:rsidRDefault="00431BE5" w:rsidP="00C34F96"/>
    <w:p w14:paraId="2B96690D" w14:textId="00B18E62" w:rsidR="00431BE5" w:rsidRPr="00E92BBF" w:rsidRDefault="00431BE5" w:rsidP="00C34F96"/>
    <w:p w14:paraId="31E59117" w14:textId="77777777" w:rsidR="00431BE5" w:rsidRDefault="00431BE5" w:rsidP="00431BE5">
      <w:pPr>
        <w:rPr>
          <w:u w:val="single"/>
        </w:rPr>
      </w:pPr>
    </w:p>
    <w:tbl>
      <w:tblPr>
        <w:tblStyle w:val="Style2"/>
        <w:tblpPr w:leftFromText="180" w:rightFromText="180" w:vertAnchor="page" w:horzAnchor="margin" w:tblpY="1140"/>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1222"/>
        <w:gridCol w:w="1327"/>
        <w:gridCol w:w="1546"/>
        <w:gridCol w:w="1391"/>
        <w:gridCol w:w="1218"/>
        <w:gridCol w:w="1378"/>
        <w:gridCol w:w="1652"/>
      </w:tblGrid>
      <w:tr w:rsidR="00806B4B" w14:paraId="6F546AFF" w14:textId="77777777" w:rsidTr="00806B4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E51937"/>
          </w:tcPr>
          <w:p w14:paraId="5AADD576" w14:textId="77777777" w:rsidR="00806B4B" w:rsidRPr="003E0961" w:rsidRDefault="00806B4B" w:rsidP="00806B4B">
            <w:pPr>
              <w:rPr>
                <w:szCs w:val="20"/>
              </w:rPr>
            </w:pPr>
            <w:r w:rsidRPr="003E0961">
              <w:rPr>
                <w:szCs w:val="20"/>
              </w:rPr>
              <w:lastRenderedPageBreak/>
              <w:t>Complaint Category</w:t>
            </w:r>
          </w:p>
        </w:tc>
        <w:tc>
          <w:tcPr>
            <w:tcW w:w="1222" w:type="dxa"/>
            <w:shd w:val="clear" w:color="auto" w:fill="E51937"/>
          </w:tcPr>
          <w:p w14:paraId="59E3020F" w14:textId="77777777" w:rsidR="00806B4B" w:rsidRPr="003E0961" w:rsidRDefault="00806B4B" w:rsidP="00806B4B">
            <w:pPr>
              <w:cnfStyle w:val="100000000000" w:firstRow="1" w:lastRow="0" w:firstColumn="0" w:lastColumn="0" w:oddVBand="0" w:evenVBand="0" w:oddHBand="0" w:evenHBand="0" w:firstRowFirstColumn="0" w:firstRowLastColumn="0" w:lastRowFirstColumn="0" w:lastRowLastColumn="0"/>
              <w:rPr>
                <w:szCs w:val="20"/>
              </w:rPr>
            </w:pPr>
            <w:proofErr w:type="gramStart"/>
            <w:r w:rsidRPr="003E0961">
              <w:rPr>
                <w:szCs w:val="20"/>
              </w:rPr>
              <w:t>Sub C</w:t>
            </w:r>
            <w:r>
              <w:rPr>
                <w:szCs w:val="20"/>
              </w:rPr>
              <w:t>ate</w:t>
            </w:r>
            <w:r w:rsidRPr="003E0961">
              <w:rPr>
                <w:szCs w:val="20"/>
              </w:rPr>
              <w:t>gory</w:t>
            </w:r>
            <w:proofErr w:type="gramEnd"/>
          </w:p>
        </w:tc>
        <w:tc>
          <w:tcPr>
            <w:tcW w:w="1327" w:type="dxa"/>
            <w:shd w:val="clear" w:color="auto" w:fill="E51937"/>
          </w:tcPr>
          <w:p w14:paraId="74D2CC64" w14:textId="77777777" w:rsidR="00806B4B" w:rsidRPr="003E0961" w:rsidRDefault="00806B4B" w:rsidP="00806B4B">
            <w:pPr>
              <w:cnfStyle w:val="100000000000" w:firstRow="1" w:lastRow="0" w:firstColumn="0" w:lastColumn="0" w:oddVBand="0" w:evenVBand="0" w:oddHBand="0" w:evenHBand="0" w:firstRowFirstColumn="0" w:firstRowLastColumn="0" w:lastRowFirstColumn="0" w:lastRowLastColumn="0"/>
              <w:rPr>
                <w:szCs w:val="20"/>
              </w:rPr>
            </w:pPr>
            <w:r w:rsidRPr="003E0961">
              <w:rPr>
                <w:szCs w:val="20"/>
              </w:rPr>
              <w:t>Party In</w:t>
            </w:r>
            <w:r>
              <w:rPr>
                <w:szCs w:val="20"/>
              </w:rPr>
              <w:t>v</w:t>
            </w:r>
            <w:r w:rsidRPr="003E0961">
              <w:rPr>
                <w:szCs w:val="20"/>
              </w:rPr>
              <w:t>olved</w:t>
            </w:r>
          </w:p>
        </w:tc>
        <w:tc>
          <w:tcPr>
            <w:tcW w:w="1546" w:type="dxa"/>
            <w:shd w:val="clear" w:color="auto" w:fill="E51937"/>
          </w:tcPr>
          <w:p w14:paraId="55F81B74" w14:textId="77777777" w:rsidR="00806B4B" w:rsidRPr="003E0961" w:rsidRDefault="00806B4B" w:rsidP="00806B4B">
            <w:pPr>
              <w:cnfStyle w:val="100000000000" w:firstRow="1" w:lastRow="0" w:firstColumn="0" w:lastColumn="0" w:oddVBand="0" w:evenVBand="0" w:oddHBand="0" w:evenHBand="0" w:firstRowFirstColumn="0" w:firstRowLastColumn="0" w:lastRowFirstColumn="0" w:lastRowLastColumn="0"/>
              <w:rPr>
                <w:szCs w:val="20"/>
              </w:rPr>
            </w:pPr>
            <w:r w:rsidRPr="003E0961">
              <w:rPr>
                <w:szCs w:val="20"/>
              </w:rPr>
              <w:t>Nature of Complaint</w:t>
            </w:r>
          </w:p>
        </w:tc>
        <w:tc>
          <w:tcPr>
            <w:tcW w:w="1391" w:type="dxa"/>
            <w:shd w:val="clear" w:color="auto" w:fill="E51937"/>
          </w:tcPr>
          <w:p w14:paraId="2A420630" w14:textId="77777777" w:rsidR="00806B4B" w:rsidRPr="003E0961" w:rsidRDefault="00806B4B" w:rsidP="00806B4B">
            <w:pPr>
              <w:cnfStyle w:val="100000000000" w:firstRow="1" w:lastRow="0" w:firstColumn="0" w:lastColumn="0" w:oddVBand="0" w:evenVBand="0" w:oddHBand="0" w:evenHBand="0" w:firstRowFirstColumn="0" w:firstRowLastColumn="0" w:lastRowFirstColumn="0" w:lastRowLastColumn="0"/>
              <w:rPr>
                <w:szCs w:val="20"/>
              </w:rPr>
            </w:pPr>
            <w:r w:rsidRPr="003E0961">
              <w:rPr>
                <w:szCs w:val="20"/>
              </w:rPr>
              <w:t>Resolution Timeline</w:t>
            </w:r>
          </w:p>
        </w:tc>
        <w:tc>
          <w:tcPr>
            <w:tcW w:w="1218" w:type="dxa"/>
            <w:shd w:val="clear" w:color="auto" w:fill="E51937"/>
          </w:tcPr>
          <w:p w14:paraId="41F41922" w14:textId="77777777" w:rsidR="00806B4B" w:rsidRPr="003E0961" w:rsidRDefault="00806B4B" w:rsidP="00806B4B">
            <w:pPr>
              <w:cnfStyle w:val="100000000000" w:firstRow="1" w:lastRow="0" w:firstColumn="0" w:lastColumn="0" w:oddVBand="0" w:evenVBand="0" w:oddHBand="0" w:evenHBand="0" w:firstRowFirstColumn="0" w:firstRowLastColumn="0" w:lastRowFirstColumn="0" w:lastRowLastColumn="0"/>
              <w:rPr>
                <w:szCs w:val="20"/>
              </w:rPr>
            </w:pPr>
            <w:r w:rsidRPr="003E0961">
              <w:rPr>
                <w:szCs w:val="20"/>
              </w:rPr>
              <w:t>Findings</w:t>
            </w:r>
          </w:p>
        </w:tc>
        <w:tc>
          <w:tcPr>
            <w:tcW w:w="1378" w:type="dxa"/>
            <w:shd w:val="clear" w:color="auto" w:fill="E51937"/>
          </w:tcPr>
          <w:p w14:paraId="4C7501F2" w14:textId="77777777" w:rsidR="00806B4B" w:rsidRPr="003E0961" w:rsidRDefault="00806B4B" w:rsidP="00806B4B">
            <w:pPr>
              <w:cnfStyle w:val="100000000000" w:firstRow="1" w:lastRow="0" w:firstColumn="0" w:lastColumn="0" w:oddVBand="0" w:evenVBand="0" w:oddHBand="0" w:evenHBand="0" w:firstRowFirstColumn="0" w:firstRowLastColumn="0" w:lastRowFirstColumn="0" w:lastRowLastColumn="0"/>
              <w:rPr>
                <w:szCs w:val="20"/>
              </w:rPr>
            </w:pPr>
            <w:r w:rsidRPr="003E0961">
              <w:rPr>
                <w:szCs w:val="20"/>
              </w:rPr>
              <w:t>Disciplinary Measures</w:t>
            </w:r>
          </w:p>
        </w:tc>
        <w:tc>
          <w:tcPr>
            <w:tcW w:w="1652" w:type="dxa"/>
            <w:shd w:val="clear" w:color="auto" w:fill="E51937"/>
          </w:tcPr>
          <w:p w14:paraId="3FD87D87" w14:textId="77777777" w:rsidR="00806B4B" w:rsidRPr="003E0961" w:rsidRDefault="00806B4B" w:rsidP="00806B4B">
            <w:pPr>
              <w:cnfStyle w:val="100000000000" w:firstRow="1" w:lastRow="0" w:firstColumn="0" w:lastColumn="0" w:oddVBand="0" w:evenVBand="0" w:oddHBand="0" w:evenHBand="0" w:firstRowFirstColumn="0" w:firstRowLastColumn="0" w:lastRowFirstColumn="0" w:lastRowLastColumn="0"/>
              <w:rPr>
                <w:szCs w:val="20"/>
              </w:rPr>
            </w:pPr>
            <w:r w:rsidRPr="003E0961">
              <w:rPr>
                <w:szCs w:val="20"/>
                <w:shd w:val="clear" w:color="auto" w:fill="E51937"/>
              </w:rPr>
              <w:t>Law</w:t>
            </w:r>
            <w:r w:rsidRPr="003E0961">
              <w:rPr>
                <w:szCs w:val="20"/>
              </w:rPr>
              <w:t xml:space="preserve"> Enforcement</w:t>
            </w:r>
          </w:p>
        </w:tc>
      </w:tr>
      <w:tr w:rsidR="00806B4B" w14:paraId="23160E12" w14:textId="77777777" w:rsidTr="00806B4B">
        <w:trPr>
          <w:cantSplit/>
        </w:trPr>
        <w:tc>
          <w:tcPr>
            <w:cnfStyle w:val="001000000000" w:firstRow="0" w:lastRow="0" w:firstColumn="1" w:lastColumn="0" w:oddVBand="0"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auto"/>
          </w:tcPr>
          <w:p w14:paraId="1499B95E" w14:textId="77777777" w:rsidR="00806B4B" w:rsidRPr="00806B4B" w:rsidRDefault="00806B4B" w:rsidP="00806B4B">
            <w:pPr>
              <w:pStyle w:val="Heading1"/>
              <w:rPr>
                <w:rFonts w:ascii="DM Sans" w:hAnsi="DM Sans"/>
                <w:b/>
                <w:bCs/>
                <w:color w:val="auto"/>
                <w:sz w:val="20"/>
                <w:szCs w:val="20"/>
                <w:shd w:val="clear" w:color="auto" w:fill="FFFFFF"/>
              </w:rPr>
            </w:pPr>
            <w:r w:rsidRPr="00806B4B">
              <w:rPr>
                <w:rFonts w:ascii="DM Sans" w:hAnsi="DM Sans"/>
                <w:b/>
                <w:bCs/>
                <w:color w:val="auto"/>
                <w:sz w:val="20"/>
                <w:szCs w:val="20"/>
                <w:shd w:val="clear" w:color="auto" w:fill="FFFFFF"/>
              </w:rPr>
              <w:t>Gender Identity &amp; Race</w:t>
            </w:r>
          </w:p>
        </w:tc>
        <w:tc>
          <w:tcPr>
            <w:tcW w:w="1222" w:type="dxa"/>
          </w:tcPr>
          <w:p w14:paraId="68690105"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Anti-Black racism</w:t>
            </w:r>
          </w:p>
        </w:tc>
        <w:tc>
          <w:tcPr>
            <w:tcW w:w="1327" w:type="dxa"/>
          </w:tcPr>
          <w:p w14:paraId="1F590DA9"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Student v. student</w:t>
            </w:r>
          </w:p>
        </w:tc>
        <w:tc>
          <w:tcPr>
            <w:tcW w:w="1546" w:type="dxa"/>
          </w:tcPr>
          <w:p w14:paraId="366DD500"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Discrimination &amp; harassment</w:t>
            </w:r>
          </w:p>
        </w:tc>
        <w:tc>
          <w:tcPr>
            <w:tcW w:w="1391" w:type="dxa"/>
          </w:tcPr>
          <w:p w14:paraId="2E913B37"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3 months</w:t>
            </w:r>
          </w:p>
        </w:tc>
        <w:tc>
          <w:tcPr>
            <w:tcW w:w="1218" w:type="dxa"/>
          </w:tcPr>
          <w:p w14:paraId="14997B22"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A breach of human rights policy occurred</w:t>
            </w:r>
          </w:p>
        </w:tc>
        <w:tc>
          <w:tcPr>
            <w:tcW w:w="1378" w:type="dxa"/>
          </w:tcPr>
          <w:p w14:paraId="5F158C22"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Education</w:t>
            </w:r>
          </w:p>
        </w:tc>
        <w:tc>
          <w:tcPr>
            <w:tcW w:w="1652" w:type="dxa"/>
          </w:tcPr>
          <w:p w14:paraId="58ADEAD0"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none</w:t>
            </w:r>
          </w:p>
        </w:tc>
      </w:tr>
      <w:tr w:rsidR="00806B4B" w14:paraId="295C3048" w14:textId="77777777" w:rsidTr="00806B4B">
        <w:trPr>
          <w:cantSplit/>
        </w:trPr>
        <w:tc>
          <w:tcPr>
            <w:cnfStyle w:val="001000000000" w:firstRow="0" w:lastRow="0" w:firstColumn="1" w:lastColumn="0" w:oddVBand="0"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C5C5C5" w:themeFill="background2" w:themeFillShade="D9"/>
          </w:tcPr>
          <w:p w14:paraId="2026A095" w14:textId="77777777" w:rsidR="00806B4B" w:rsidRPr="00806B4B" w:rsidRDefault="00806B4B" w:rsidP="00806B4B">
            <w:pPr>
              <w:rPr>
                <w:b/>
                <w:bCs/>
              </w:rPr>
            </w:pPr>
            <w:r w:rsidRPr="00806B4B">
              <w:rPr>
                <w:b/>
                <w:bCs/>
              </w:rPr>
              <w:t>Ethnic Origin</w:t>
            </w:r>
          </w:p>
        </w:tc>
        <w:tc>
          <w:tcPr>
            <w:tcW w:w="1222" w:type="dxa"/>
            <w:shd w:val="clear" w:color="auto" w:fill="C5C5C5" w:themeFill="background2" w:themeFillShade="D9"/>
          </w:tcPr>
          <w:p w14:paraId="04EB3805" w14:textId="77777777" w:rsidR="00806B4B" w:rsidRPr="00806B4B" w:rsidRDefault="00806B4B" w:rsidP="00806B4B">
            <w:pPr>
              <w:cnfStyle w:val="000000000000" w:firstRow="0" w:lastRow="0" w:firstColumn="0" w:lastColumn="0" w:oddVBand="0" w:evenVBand="0" w:oddHBand="0" w:evenHBand="0" w:firstRowFirstColumn="0" w:firstRowLastColumn="0" w:lastRowFirstColumn="0" w:lastRowLastColumn="0"/>
            </w:pPr>
            <w:r w:rsidRPr="00806B4B">
              <w:t>Anti-indigenous racism</w:t>
            </w:r>
          </w:p>
        </w:tc>
        <w:tc>
          <w:tcPr>
            <w:tcW w:w="1327" w:type="dxa"/>
            <w:shd w:val="clear" w:color="auto" w:fill="C5C5C5" w:themeFill="background2" w:themeFillShade="D9"/>
          </w:tcPr>
          <w:p w14:paraId="4ED0BAA8" w14:textId="77777777" w:rsidR="00806B4B" w:rsidRPr="00806B4B" w:rsidRDefault="00806B4B" w:rsidP="00806B4B">
            <w:pPr>
              <w:cnfStyle w:val="000000000000" w:firstRow="0" w:lastRow="0" w:firstColumn="0" w:lastColumn="0" w:oddVBand="0" w:evenVBand="0" w:oddHBand="0" w:evenHBand="0" w:firstRowFirstColumn="0" w:firstRowLastColumn="0" w:lastRowFirstColumn="0" w:lastRowLastColumn="0"/>
            </w:pPr>
            <w:r w:rsidRPr="00806B4B">
              <w:t>Faculty v. department</w:t>
            </w:r>
          </w:p>
        </w:tc>
        <w:tc>
          <w:tcPr>
            <w:tcW w:w="1546" w:type="dxa"/>
            <w:shd w:val="clear" w:color="auto" w:fill="C5C5C5" w:themeFill="background2" w:themeFillShade="D9"/>
          </w:tcPr>
          <w:p w14:paraId="3895AAA1" w14:textId="77777777" w:rsidR="00806B4B" w:rsidRPr="00806B4B" w:rsidRDefault="00806B4B" w:rsidP="00806B4B">
            <w:pPr>
              <w:cnfStyle w:val="000000000000" w:firstRow="0" w:lastRow="0" w:firstColumn="0" w:lastColumn="0" w:oddVBand="0" w:evenVBand="0" w:oddHBand="0" w:evenHBand="0" w:firstRowFirstColumn="0" w:firstRowLastColumn="0" w:lastRowFirstColumn="0" w:lastRowLastColumn="0"/>
            </w:pPr>
            <w:r w:rsidRPr="00806B4B">
              <w:t>Systemic discrimination in hiring process (Black, Indigenous Hiring Initiative)</w:t>
            </w:r>
          </w:p>
        </w:tc>
        <w:tc>
          <w:tcPr>
            <w:tcW w:w="1391" w:type="dxa"/>
            <w:shd w:val="clear" w:color="auto" w:fill="C5C5C5" w:themeFill="background2" w:themeFillShade="D9"/>
          </w:tcPr>
          <w:p w14:paraId="60BFB608" w14:textId="77777777" w:rsidR="00806B4B" w:rsidRPr="00806B4B" w:rsidRDefault="00806B4B" w:rsidP="00806B4B">
            <w:pPr>
              <w:cnfStyle w:val="000000000000" w:firstRow="0" w:lastRow="0" w:firstColumn="0" w:lastColumn="0" w:oddVBand="0" w:evenVBand="0" w:oddHBand="0" w:evenHBand="0" w:firstRowFirstColumn="0" w:firstRowLastColumn="0" w:lastRowFirstColumn="0" w:lastRowLastColumn="0"/>
            </w:pPr>
            <w:r w:rsidRPr="00806B4B">
              <w:t>Ongoing</w:t>
            </w:r>
          </w:p>
        </w:tc>
        <w:tc>
          <w:tcPr>
            <w:tcW w:w="1218" w:type="dxa"/>
            <w:shd w:val="clear" w:color="auto" w:fill="C5C5C5" w:themeFill="background2" w:themeFillShade="D9"/>
          </w:tcPr>
          <w:p w14:paraId="35B73F0D" w14:textId="77777777" w:rsidR="00806B4B" w:rsidRPr="00806B4B" w:rsidRDefault="00806B4B" w:rsidP="00806B4B">
            <w:pPr>
              <w:cnfStyle w:val="000000000000" w:firstRow="0" w:lastRow="0" w:firstColumn="0" w:lastColumn="0" w:oddVBand="0" w:evenVBand="0" w:oddHBand="0" w:evenHBand="0" w:firstRowFirstColumn="0" w:firstRowLastColumn="0" w:lastRowFirstColumn="0" w:lastRowLastColumn="0"/>
            </w:pPr>
            <w:r w:rsidRPr="00806B4B">
              <w:t>Ongoing</w:t>
            </w:r>
          </w:p>
        </w:tc>
        <w:tc>
          <w:tcPr>
            <w:tcW w:w="1378" w:type="dxa"/>
            <w:shd w:val="clear" w:color="auto" w:fill="C5C5C5" w:themeFill="background2" w:themeFillShade="D9"/>
          </w:tcPr>
          <w:p w14:paraId="51FAB003" w14:textId="77777777" w:rsidR="00806B4B" w:rsidRPr="00806B4B" w:rsidRDefault="00806B4B" w:rsidP="00806B4B">
            <w:pPr>
              <w:cnfStyle w:val="000000000000" w:firstRow="0" w:lastRow="0" w:firstColumn="0" w:lastColumn="0" w:oddVBand="0" w:evenVBand="0" w:oddHBand="0" w:evenHBand="0" w:firstRowFirstColumn="0" w:firstRowLastColumn="0" w:lastRowFirstColumn="0" w:lastRowLastColumn="0"/>
            </w:pPr>
            <w:r w:rsidRPr="00806B4B">
              <w:t>Ongoing</w:t>
            </w:r>
          </w:p>
        </w:tc>
        <w:tc>
          <w:tcPr>
            <w:tcW w:w="1652" w:type="dxa"/>
            <w:shd w:val="clear" w:color="auto" w:fill="C5C5C5" w:themeFill="background2" w:themeFillShade="D9"/>
          </w:tcPr>
          <w:p w14:paraId="193F3836" w14:textId="77777777" w:rsidR="00806B4B" w:rsidRPr="00806B4B" w:rsidRDefault="00806B4B" w:rsidP="00806B4B">
            <w:pPr>
              <w:cnfStyle w:val="000000000000" w:firstRow="0" w:lastRow="0" w:firstColumn="0" w:lastColumn="0" w:oddVBand="0" w:evenVBand="0" w:oddHBand="0" w:evenHBand="0" w:firstRowFirstColumn="0" w:firstRowLastColumn="0" w:lastRowFirstColumn="0" w:lastRowLastColumn="0"/>
            </w:pPr>
            <w:r w:rsidRPr="00806B4B">
              <w:t>None thus far</w:t>
            </w:r>
          </w:p>
        </w:tc>
      </w:tr>
      <w:tr w:rsidR="00806B4B" w14:paraId="6EB7226F" w14:textId="77777777" w:rsidTr="00806B4B">
        <w:trPr>
          <w:cantSplit/>
        </w:trPr>
        <w:tc>
          <w:tcPr>
            <w:cnfStyle w:val="001000000000" w:firstRow="0" w:lastRow="0" w:firstColumn="1" w:lastColumn="0" w:oddVBand="0"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FFFFFF" w:themeFill="background1"/>
          </w:tcPr>
          <w:p w14:paraId="50B50AA1" w14:textId="77777777" w:rsidR="00806B4B" w:rsidRPr="00806B4B" w:rsidRDefault="00806B4B" w:rsidP="00806B4B">
            <w:pPr>
              <w:pStyle w:val="Heading1"/>
              <w:rPr>
                <w:rFonts w:ascii="DM Sans" w:hAnsi="DM Sans"/>
                <w:b/>
                <w:bCs/>
                <w:color w:val="auto"/>
                <w:sz w:val="20"/>
                <w:szCs w:val="20"/>
                <w:shd w:val="clear" w:color="auto" w:fill="FFFFFF"/>
              </w:rPr>
            </w:pPr>
            <w:r w:rsidRPr="00806B4B">
              <w:rPr>
                <w:rFonts w:ascii="DM Sans" w:hAnsi="DM Sans"/>
                <w:b/>
                <w:bCs/>
                <w:color w:val="auto"/>
                <w:sz w:val="20"/>
                <w:szCs w:val="20"/>
                <w:shd w:val="clear" w:color="auto" w:fill="FFFFFF"/>
              </w:rPr>
              <w:t>Race, Colour, Place of Origin</w:t>
            </w:r>
          </w:p>
        </w:tc>
        <w:tc>
          <w:tcPr>
            <w:tcW w:w="1222" w:type="dxa"/>
            <w:shd w:val="clear" w:color="auto" w:fill="FFFFFF" w:themeFill="background1"/>
          </w:tcPr>
          <w:p w14:paraId="4C659F79"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Did not indicate</w:t>
            </w:r>
          </w:p>
        </w:tc>
        <w:tc>
          <w:tcPr>
            <w:tcW w:w="1327" w:type="dxa"/>
            <w:shd w:val="clear" w:color="auto" w:fill="FFFFFF" w:themeFill="background1"/>
          </w:tcPr>
          <w:p w14:paraId="71A3CEC1"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Student v. Staff</w:t>
            </w:r>
          </w:p>
        </w:tc>
        <w:tc>
          <w:tcPr>
            <w:tcW w:w="1546" w:type="dxa"/>
            <w:shd w:val="clear" w:color="auto" w:fill="FFFFFF" w:themeFill="background1"/>
          </w:tcPr>
          <w:p w14:paraId="343FAE3C"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Discrimination &amp; harassment</w:t>
            </w:r>
          </w:p>
        </w:tc>
        <w:tc>
          <w:tcPr>
            <w:tcW w:w="1391" w:type="dxa"/>
            <w:shd w:val="clear" w:color="auto" w:fill="FFFFFF" w:themeFill="background1"/>
          </w:tcPr>
          <w:p w14:paraId="0A0C11D6"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Ongoing</w:t>
            </w:r>
          </w:p>
        </w:tc>
        <w:tc>
          <w:tcPr>
            <w:tcW w:w="1218" w:type="dxa"/>
            <w:shd w:val="clear" w:color="auto" w:fill="FFFFFF" w:themeFill="background1"/>
          </w:tcPr>
          <w:p w14:paraId="0C14F0A6"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Ongoing</w:t>
            </w:r>
          </w:p>
        </w:tc>
        <w:tc>
          <w:tcPr>
            <w:tcW w:w="1378" w:type="dxa"/>
            <w:shd w:val="clear" w:color="auto" w:fill="FFFFFF" w:themeFill="background1"/>
          </w:tcPr>
          <w:p w14:paraId="1A60C2BC"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Ongoing</w:t>
            </w:r>
          </w:p>
        </w:tc>
        <w:tc>
          <w:tcPr>
            <w:tcW w:w="1652" w:type="dxa"/>
            <w:shd w:val="clear" w:color="auto" w:fill="FFFFFF" w:themeFill="background1"/>
          </w:tcPr>
          <w:p w14:paraId="0D1B6324" w14:textId="77777777" w:rsidR="00806B4B" w:rsidRPr="00806B4B" w:rsidRDefault="00806B4B" w:rsidP="00806B4B">
            <w:pPr>
              <w:pStyle w:val="Heading1"/>
              <w:cnfStyle w:val="000000000000" w:firstRow="0" w:lastRow="0" w:firstColumn="0" w:lastColumn="0" w:oddVBand="0" w:evenVBand="0" w:oddHBand="0" w:evenHBand="0" w:firstRowFirstColumn="0" w:firstRowLastColumn="0" w:lastRowFirstColumn="0" w:lastRowLastColumn="0"/>
              <w:rPr>
                <w:rFonts w:ascii="DM Sans" w:hAnsi="DM Sans"/>
                <w:b/>
                <w:bCs/>
                <w:color w:val="auto"/>
                <w:sz w:val="20"/>
                <w:szCs w:val="20"/>
                <w:shd w:val="clear" w:color="auto" w:fill="FFFFFF"/>
              </w:rPr>
            </w:pPr>
            <w:r w:rsidRPr="00806B4B">
              <w:rPr>
                <w:rFonts w:ascii="DM Sans" w:hAnsi="DM Sans"/>
                <w:bCs/>
                <w:color w:val="auto"/>
                <w:sz w:val="20"/>
                <w:szCs w:val="20"/>
                <w:shd w:val="clear" w:color="auto" w:fill="FFFFFF"/>
              </w:rPr>
              <w:t>None thus far</w:t>
            </w:r>
          </w:p>
        </w:tc>
      </w:tr>
      <w:tr w:rsidR="00806B4B" w14:paraId="17761AF1" w14:textId="77777777" w:rsidTr="00806B4B">
        <w:trPr>
          <w:cantSplit/>
        </w:trPr>
        <w:tc>
          <w:tcPr>
            <w:cnfStyle w:val="001000000000" w:firstRow="0" w:lastRow="0" w:firstColumn="1" w:lastColumn="0" w:oddVBand="0" w:evenVBand="0" w:oddHBand="0" w:evenHBand="0" w:firstRowFirstColumn="0" w:firstRowLastColumn="0" w:lastRowFirstColumn="0" w:lastRowLastColumn="0"/>
            <w:tcW w:w="1241" w:type="dxa"/>
            <w:tcBorders>
              <w:top w:val="none" w:sz="0" w:space="0" w:color="auto"/>
              <w:left w:val="none" w:sz="0" w:space="0" w:color="auto"/>
              <w:bottom w:val="none" w:sz="0" w:space="0" w:color="auto"/>
              <w:right w:val="none" w:sz="0" w:space="0" w:color="auto"/>
            </w:tcBorders>
            <w:shd w:val="clear" w:color="auto" w:fill="C5C5C5" w:themeFill="background2" w:themeFillShade="D9"/>
          </w:tcPr>
          <w:p w14:paraId="02B0EBAC" w14:textId="77777777" w:rsidR="00806B4B" w:rsidRPr="00594DA1" w:rsidRDefault="00806B4B" w:rsidP="00806B4B">
            <w:pPr>
              <w:rPr>
                <w:b/>
                <w:bCs/>
              </w:rPr>
            </w:pPr>
            <w:r w:rsidRPr="00594DA1">
              <w:rPr>
                <w:b/>
                <w:bCs/>
              </w:rPr>
              <w:t xml:space="preserve">Race, </w:t>
            </w:r>
            <w:r>
              <w:rPr>
                <w:b/>
                <w:bCs/>
              </w:rPr>
              <w:t>C</w:t>
            </w:r>
            <w:r w:rsidRPr="00594DA1">
              <w:rPr>
                <w:b/>
                <w:bCs/>
              </w:rPr>
              <w:t>olour</w:t>
            </w:r>
          </w:p>
        </w:tc>
        <w:tc>
          <w:tcPr>
            <w:tcW w:w="1222" w:type="dxa"/>
            <w:shd w:val="clear" w:color="auto" w:fill="C5C5C5" w:themeFill="background2" w:themeFillShade="D9"/>
          </w:tcPr>
          <w:p w14:paraId="584DD5F6" w14:textId="77777777" w:rsidR="00806B4B" w:rsidRPr="00F44441" w:rsidRDefault="00806B4B" w:rsidP="00806B4B">
            <w:pPr>
              <w:cnfStyle w:val="000000000000" w:firstRow="0" w:lastRow="0" w:firstColumn="0" w:lastColumn="0" w:oddVBand="0" w:evenVBand="0" w:oddHBand="0" w:evenHBand="0" w:firstRowFirstColumn="0" w:firstRowLastColumn="0" w:lastRowFirstColumn="0" w:lastRowLastColumn="0"/>
            </w:pPr>
            <w:r>
              <w:t>Did not indicate</w:t>
            </w:r>
          </w:p>
        </w:tc>
        <w:tc>
          <w:tcPr>
            <w:tcW w:w="1327" w:type="dxa"/>
            <w:shd w:val="clear" w:color="auto" w:fill="C5C5C5" w:themeFill="background2" w:themeFillShade="D9"/>
          </w:tcPr>
          <w:p w14:paraId="3D162C37" w14:textId="77777777" w:rsidR="00806B4B" w:rsidRPr="00F44441" w:rsidRDefault="00806B4B" w:rsidP="00806B4B">
            <w:pPr>
              <w:cnfStyle w:val="000000000000" w:firstRow="0" w:lastRow="0" w:firstColumn="0" w:lastColumn="0" w:oddVBand="0" w:evenVBand="0" w:oddHBand="0" w:evenHBand="0" w:firstRowFirstColumn="0" w:firstRowLastColumn="0" w:lastRowFirstColumn="0" w:lastRowLastColumn="0"/>
            </w:pPr>
            <w:r w:rsidRPr="00F44441">
              <w:t xml:space="preserve">Student v. </w:t>
            </w:r>
            <w:r>
              <w:t>Staff</w:t>
            </w:r>
          </w:p>
        </w:tc>
        <w:tc>
          <w:tcPr>
            <w:tcW w:w="1546" w:type="dxa"/>
            <w:shd w:val="clear" w:color="auto" w:fill="C5C5C5" w:themeFill="background2" w:themeFillShade="D9"/>
          </w:tcPr>
          <w:p w14:paraId="16AB0F67" w14:textId="77777777" w:rsidR="00806B4B" w:rsidRPr="00F44441" w:rsidRDefault="00806B4B" w:rsidP="00806B4B">
            <w:pPr>
              <w:cnfStyle w:val="000000000000" w:firstRow="0" w:lastRow="0" w:firstColumn="0" w:lastColumn="0" w:oddVBand="0" w:evenVBand="0" w:oddHBand="0" w:evenHBand="0" w:firstRowFirstColumn="0" w:firstRowLastColumn="0" w:lastRowFirstColumn="0" w:lastRowLastColumn="0"/>
            </w:pPr>
            <w:r w:rsidRPr="00F44441">
              <w:t>Discrimination &amp; Harassment</w:t>
            </w:r>
          </w:p>
        </w:tc>
        <w:tc>
          <w:tcPr>
            <w:tcW w:w="1391" w:type="dxa"/>
            <w:shd w:val="clear" w:color="auto" w:fill="C5C5C5" w:themeFill="background2" w:themeFillShade="D9"/>
          </w:tcPr>
          <w:p w14:paraId="3B7A9897" w14:textId="77777777" w:rsidR="00806B4B" w:rsidRPr="00F44441" w:rsidRDefault="00806B4B" w:rsidP="00806B4B">
            <w:pPr>
              <w:cnfStyle w:val="000000000000" w:firstRow="0" w:lastRow="0" w:firstColumn="0" w:lastColumn="0" w:oddVBand="0" w:evenVBand="0" w:oddHBand="0" w:evenHBand="0" w:firstRowFirstColumn="0" w:firstRowLastColumn="0" w:lastRowFirstColumn="0" w:lastRowLastColumn="0"/>
            </w:pPr>
            <w:r w:rsidRPr="00F44441">
              <w:t>Ongoing</w:t>
            </w:r>
          </w:p>
        </w:tc>
        <w:tc>
          <w:tcPr>
            <w:tcW w:w="1218" w:type="dxa"/>
            <w:shd w:val="clear" w:color="auto" w:fill="C5C5C5" w:themeFill="background2" w:themeFillShade="D9"/>
          </w:tcPr>
          <w:p w14:paraId="693CBF35" w14:textId="77777777" w:rsidR="00806B4B" w:rsidRPr="00F44441" w:rsidRDefault="00806B4B" w:rsidP="00806B4B">
            <w:pPr>
              <w:cnfStyle w:val="000000000000" w:firstRow="0" w:lastRow="0" w:firstColumn="0" w:lastColumn="0" w:oddVBand="0" w:evenVBand="0" w:oddHBand="0" w:evenHBand="0" w:firstRowFirstColumn="0" w:firstRowLastColumn="0" w:lastRowFirstColumn="0" w:lastRowLastColumn="0"/>
            </w:pPr>
            <w:r w:rsidRPr="00F44441">
              <w:t>Ongoing</w:t>
            </w:r>
          </w:p>
        </w:tc>
        <w:tc>
          <w:tcPr>
            <w:tcW w:w="1378" w:type="dxa"/>
            <w:shd w:val="clear" w:color="auto" w:fill="C5C5C5" w:themeFill="background2" w:themeFillShade="D9"/>
          </w:tcPr>
          <w:p w14:paraId="5A8032BD" w14:textId="77777777" w:rsidR="00806B4B" w:rsidRPr="00F44441" w:rsidRDefault="00806B4B" w:rsidP="00806B4B">
            <w:pPr>
              <w:cnfStyle w:val="000000000000" w:firstRow="0" w:lastRow="0" w:firstColumn="0" w:lastColumn="0" w:oddVBand="0" w:evenVBand="0" w:oddHBand="0" w:evenHBand="0" w:firstRowFirstColumn="0" w:firstRowLastColumn="0" w:lastRowFirstColumn="0" w:lastRowLastColumn="0"/>
            </w:pPr>
            <w:r w:rsidRPr="00F44441">
              <w:t>Ongoing</w:t>
            </w:r>
          </w:p>
        </w:tc>
        <w:tc>
          <w:tcPr>
            <w:tcW w:w="1652" w:type="dxa"/>
            <w:shd w:val="clear" w:color="auto" w:fill="C5C5C5" w:themeFill="background2" w:themeFillShade="D9"/>
          </w:tcPr>
          <w:p w14:paraId="03275860" w14:textId="77777777" w:rsidR="00806B4B" w:rsidRPr="00F44441" w:rsidRDefault="00806B4B" w:rsidP="00806B4B">
            <w:pPr>
              <w:cnfStyle w:val="000000000000" w:firstRow="0" w:lastRow="0" w:firstColumn="0" w:lastColumn="0" w:oddVBand="0" w:evenVBand="0" w:oddHBand="0" w:evenHBand="0" w:firstRowFirstColumn="0" w:firstRowLastColumn="0" w:lastRowFirstColumn="0" w:lastRowLastColumn="0"/>
            </w:pPr>
            <w:r w:rsidRPr="00F44441">
              <w:t>None thus far</w:t>
            </w:r>
          </w:p>
        </w:tc>
      </w:tr>
    </w:tbl>
    <w:p w14:paraId="4EFBF0F4" w14:textId="77777777" w:rsidR="00431BE5" w:rsidRDefault="00431BE5" w:rsidP="00431BE5">
      <w:pPr>
        <w:rPr>
          <w:u w:val="single"/>
        </w:rPr>
      </w:pPr>
    </w:p>
    <w:p w14:paraId="32579310" w14:textId="77777777" w:rsidR="00431BE5" w:rsidRDefault="00431BE5" w:rsidP="00431BE5">
      <w:pPr>
        <w:rPr>
          <w:u w:val="single"/>
        </w:rPr>
      </w:pPr>
    </w:p>
    <w:p w14:paraId="3F79D82C" w14:textId="77777777" w:rsidR="00806B4B" w:rsidRDefault="00806B4B" w:rsidP="00431BE5">
      <w:pPr>
        <w:rPr>
          <w:b/>
          <w:bCs/>
          <w:color w:val="EE0000"/>
          <w:sz w:val="22"/>
        </w:rPr>
      </w:pPr>
    </w:p>
    <w:p w14:paraId="47BA8E99" w14:textId="367CEC8D" w:rsidR="00806B4B" w:rsidRPr="0095456C" w:rsidRDefault="00806B4B" w:rsidP="00431BE5">
      <w:pPr>
        <w:rPr>
          <w:rFonts w:ascii="Bitter" w:hAnsi="Bitter"/>
          <w:b/>
          <w:bCs/>
          <w:color w:val="E51937"/>
          <w:sz w:val="28"/>
          <w:szCs w:val="28"/>
        </w:rPr>
      </w:pPr>
      <w:r w:rsidRPr="0095456C">
        <w:rPr>
          <w:rFonts w:ascii="Bitter" w:hAnsi="Bitter"/>
          <w:b/>
          <w:bCs/>
          <w:color w:val="E51937"/>
          <w:sz w:val="28"/>
          <w:szCs w:val="28"/>
        </w:rPr>
        <w:t>Anti-Racism, Anti-Hate and Inclusion Initiatives</w:t>
      </w:r>
    </w:p>
    <w:p w14:paraId="0D33B347" w14:textId="4066EDB8" w:rsidR="00431BE5" w:rsidRPr="00806B4B" w:rsidRDefault="00431BE5" w:rsidP="00431BE5">
      <w:pPr>
        <w:rPr>
          <w:b/>
          <w:bCs/>
          <w:color w:val="000000" w:themeColor="text1"/>
          <w:sz w:val="22"/>
        </w:rPr>
      </w:pPr>
      <w:r w:rsidRPr="00806B4B">
        <w:rPr>
          <w:b/>
          <w:bCs/>
          <w:color w:val="000000" w:themeColor="text1"/>
          <w:sz w:val="22"/>
        </w:rPr>
        <w:t>Training &amp; Education</w:t>
      </w:r>
    </w:p>
    <w:p w14:paraId="137153EF" w14:textId="77777777" w:rsidR="00431BE5" w:rsidRPr="00B8481E" w:rsidRDefault="00431BE5" w:rsidP="00431BE5">
      <w:pPr>
        <w:rPr>
          <w:sz w:val="22"/>
        </w:rPr>
      </w:pPr>
      <w:r w:rsidRPr="00B8481E">
        <w:rPr>
          <w:sz w:val="22"/>
        </w:rPr>
        <w:t xml:space="preserve">The Office of Diversity and Human Rights (DHR) </w:t>
      </w:r>
      <w:proofErr w:type="gramStart"/>
      <w:r w:rsidRPr="00B8481E">
        <w:rPr>
          <w:sz w:val="22"/>
        </w:rPr>
        <w:t>play</w:t>
      </w:r>
      <w:r>
        <w:rPr>
          <w:sz w:val="22"/>
        </w:rPr>
        <w:t>s</w:t>
      </w:r>
      <w:proofErr w:type="gramEnd"/>
      <w:r w:rsidRPr="00B8481E">
        <w:rPr>
          <w:sz w:val="22"/>
        </w:rPr>
        <w:t xml:space="preserve"> a central and multifaceted role in promoting an inclusive, respectful and equitable campus. Its mandate spans five interconnected areas: accessibility, educational equity, employment equity, human rights, and cultivating an inclusive community. Through policy development, education, training and collaboration with other campus partners, DHR works to address discrimination, harassment, racism and barriers to</w:t>
      </w:r>
      <w:r>
        <w:rPr>
          <w:sz w:val="22"/>
        </w:rPr>
        <w:t xml:space="preserve"> inclusion.</w:t>
      </w:r>
    </w:p>
    <w:p w14:paraId="7DADA095" w14:textId="77777777" w:rsidR="00431BE5" w:rsidRPr="00B8481E" w:rsidRDefault="00431BE5" w:rsidP="00431BE5">
      <w:pPr>
        <w:rPr>
          <w:sz w:val="22"/>
        </w:rPr>
      </w:pPr>
      <w:r w:rsidRPr="00B8481E">
        <w:rPr>
          <w:sz w:val="22"/>
        </w:rPr>
        <w:t>Establishing an inclusive and equitable campus community culture begins with a strong understanding of equity, diversity and inclusion principles. DHR offers students, faculty, staff and alumni, a wide variety of invaluable training workshops, seminars, classroom instruction, modules and resources that explore anti-discrimination, anti-oppression, anti-racism and anti-bias concepts. DHR provides our campus community and university partners with the training, education</w:t>
      </w:r>
      <w:r>
        <w:rPr>
          <w:sz w:val="22"/>
        </w:rPr>
        <w:t xml:space="preserve">, </w:t>
      </w:r>
      <w:r w:rsidRPr="00B8481E">
        <w:rPr>
          <w:sz w:val="22"/>
        </w:rPr>
        <w:t>resources</w:t>
      </w:r>
      <w:r>
        <w:rPr>
          <w:sz w:val="22"/>
        </w:rPr>
        <w:t xml:space="preserve"> and supports</w:t>
      </w:r>
      <w:r w:rsidRPr="00B8481E">
        <w:rPr>
          <w:sz w:val="22"/>
        </w:rPr>
        <w:t xml:space="preserve"> needed to promote equity, diversity and inclusion in</w:t>
      </w:r>
      <w:r>
        <w:rPr>
          <w:sz w:val="22"/>
        </w:rPr>
        <w:t xml:space="preserve"> </w:t>
      </w:r>
      <w:r w:rsidRPr="00B8481E">
        <w:rPr>
          <w:sz w:val="22"/>
        </w:rPr>
        <w:t xml:space="preserve">classrooms, workplaces, boardrooms and communities. </w:t>
      </w:r>
    </w:p>
    <w:p w14:paraId="08F66D24" w14:textId="77777777" w:rsidR="00431BE5" w:rsidRPr="00B8481E" w:rsidRDefault="00431BE5" w:rsidP="00431BE5">
      <w:pPr>
        <w:rPr>
          <w:sz w:val="22"/>
        </w:rPr>
      </w:pPr>
      <w:r w:rsidRPr="00B8481E">
        <w:rPr>
          <w:sz w:val="22"/>
        </w:rPr>
        <w:t xml:space="preserve">Since 2019, DHR has conducted 328 trainings for over 7,000 participants with topics ranging from anti-racism, microaggressions, human rights, accessibility, equitable recruitment, unconscious bias, anti-hate and more. DHR also teaches UNIV*2010: Anti-discrimination and Anti-Oppression, a for-credit undergraduate course in the College of Arts. Since its inception, </w:t>
      </w:r>
      <w:r>
        <w:rPr>
          <w:sz w:val="22"/>
        </w:rPr>
        <w:t xml:space="preserve">hundreds of </w:t>
      </w:r>
      <w:r w:rsidRPr="00B8481E">
        <w:rPr>
          <w:sz w:val="22"/>
        </w:rPr>
        <w:t xml:space="preserve">students have completed the course. </w:t>
      </w:r>
    </w:p>
    <w:p w14:paraId="70C5BF0A" w14:textId="77777777" w:rsidR="00431BE5" w:rsidRDefault="00431BE5" w:rsidP="00431BE5"/>
    <w:p w14:paraId="6D3ECEFA" w14:textId="77777777" w:rsidR="00431BE5" w:rsidRPr="00AC09F2" w:rsidRDefault="00431BE5" w:rsidP="00431BE5">
      <w:pPr>
        <w:jc w:val="center"/>
      </w:pPr>
      <w:r>
        <w:rPr>
          <w:noProof/>
        </w:rPr>
        <w:lastRenderedPageBreak/>
        <w:drawing>
          <wp:inline distT="0" distB="0" distL="0" distR="0" wp14:anchorId="25F0ABA4" wp14:editId="1CF57292">
            <wp:extent cx="3943350" cy="2371725"/>
            <wp:effectExtent l="0" t="0" r="0" b="9525"/>
            <wp:docPr id="4300471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973FD6" w14:textId="77777777" w:rsidR="00431BE5" w:rsidRDefault="00431BE5" w:rsidP="00431BE5">
      <w:r>
        <w:rPr>
          <w:noProof/>
        </w:rPr>
        <mc:AlternateContent>
          <mc:Choice Requires="wps">
            <w:drawing>
              <wp:anchor distT="0" distB="0" distL="114300" distR="114300" simplePos="0" relativeHeight="251659264" behindDoc="1" locked="0" layoutInCell="1" allowOverlap="1" wp14:anchorId="0F39032A" wp14:editId="193B179C">
                <wp:simplePos x="0" y="0"/>
                <wp:positionH relativeFrom="margin">
                  <wp:posOffset>46355</wp:posOffset>
                </wp:positionH>
                <wp:positionV relativeFrom="paragraph">
                  <wp:posOffset>118745</wp:posOffset>
                </wp:positionV>
                <wp:extent cx="4572000" cy="266700"/>
                <wp:effectExtent l="0" t="0" r="0" b="0"/>
                <wp:wrapTight wrapText="bothSides">
                  <wp:wrapPolygon edited="0">
                    <wp:start x="0" y="0"/>
                    <wp:lineTo x="0" y="20057"/>
                    <wp:lineTo x="21510" y="20057"/>
                    <wp:lineTo x="21510" y="0"/>
                    <wp:lineTo x="0" y="0"/>
                  </wp:wrapPolygon>
                </wp:wrapTight>
                <wp:docPr id="776520998" name="Text Box 1"/>
                <wp:cNvGraphicFramePr/>
                <a:graphic xmlns:a="http://schemas.openxmlformats.org/drawingml/2006/main">
                  <a:graphicData uri="http://schemas.microsoft.com/office/word/2010/wordprocessingShape">
                    <wps:wsp>
                      <wps:cNvSpPr txBox="1"/>
                      <wps:spPr>
                        <a:xfrm>
                          <a:off x="0" y="0"/>
                          <a:ext cx="4572000" cy="266700"/>
                        </a:xfrm>
                        <a:prstGeom prst="rect">
                          <a:avLst/>
                        </a:prstGeom>
                        <a:solidFill>
                          <a:prstClr val="white"/>
                        </a:solidFill>
                        <a:ln>
                          <a:noFill/>
                        </a:ln>
                      </wps:spPr>
                      <wps:txbx>
                        <w:txbxContent>
                          <w:p w14:paraId="08382B15" w14:textId="77777777" w:rsidR="00431BE5" w:rsidRPr="00202B4E" w:rsidRDefault="00431BE5" w:rsidP="00431BE5">
                            <w:pPr>
                              <w:pStyle w:val="Caption"/>
                              <w:rPr>
                                <w:noProof/>
                                <w:sz w:val="22"/>
                                <w:szCs w:val="22"/>
                              </w:rPr>
                            </w:pPr>
                            <w:r>
                              <w:t xml:space="preserve">Figure </w:t>
                            </w:r>
                            <w:r>
                              <w:fldChar w:fldCharType="begin"/>
                            </w:r>
                            <w:r>
                              <w:instrText xml:space="preserve"> SEQ Figure \* ARABIC </w:instrText>
                            </w:r>
                            <w:r>
                              <w:fldChar w:fldCharType="separate"/>
                            </w:r>
                            <w:r>
                              <w:rPr>
                                <w:noProof/>
                              </w:rPr>
                              <w:t>1</w:t>
                            </w:r>
                            <w:r>
                              <w:rPr>
                                <w:noProof/>
                              </w:rPr>
                              <w:fldChar w:fldCharType="end"/>
                            </w:r>
                            <w:r>
                              <w:t>: Total number of trainings.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F39032A" id="_x0000_t202" coordsize="21600,21600" o:spt="202" path="m,l,21600r21600,l21600,xe">
                <v:stroke joinstyle="miter"/>
                <v:path gradientshapeok="t" o:connecttype="rect"/>
              </v:shapetype>
              <v:shape id="Text Box 1" o:spid="_x0000_s1026" type="#_x0000_t202" style="position:absolute;margin-left:3.65pt;margin-top:9.35pt;width:5in;height:21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" stroked="f">
                <v:textbox style="mso-fit-shape-to-text:t" inset="0,0,0,0">
                  <w:txbxContent>
                    <w:p w14:paraId="08382B15" w14:textId="77777777" w:rsidR="00431BE5" w:rsidRPr="00202B4E" w:rsidRDefault="00431BE5" w:rsidP="00431BE5">
                      <w:pPr>
                        <w:pStyle w:val="Caption"/>
                        <w:rPr>
                          <w:noProof/>
                          <w:sz w:val="22"/>
                          <w:szCs w:val="22"/>
                        </w:rPr>
                      </w:pPr>
                      <w:r>
                        <w:t xml:space="preserve">Figure </w:t>
                      </w:r>
                      <w:r>
                        <w:fldChar w:fldCharType="begin"/>
                      </w:r>
                      <w:r>
                        <w:instrText xml:space="preserve"> SEQ Figure \* ARABIC </w:instrText>
                      </w:r>
                      <w:r>
                        <w:fldChar w:fldCharType="separate"/>
                      </w:r>
                      <w:r>
                        <w:rPr>
                          <w:noProof/>
                        </w:rPr>
                        <w:t>1</w:t>
                      </w:r>
                      <w:r>
                        <w:rPr>
                          <w:noProof/>
                        </w:rPr>
                        <w:fldChar w:fldCharType="end"/>
                      </w:r>
                      <w:r>
                        <w:t>: Total number of trainings.</w:t>
                      </w:r>
                    </w:p>
                  </w:txbxContent>
                </v:textbox>
                <w10:wrap type="tight" anchorx="margin"/>
              </v:shape>
            </w:pict>
          </mc:Fallback>
        </mc:AlternateContent>
      </w:r>
    </w:p>
    <w:p w14:paraId="4E78C7B0" w14:textId="77777777" w:rsidR="00431BE5" w:rsidRPr="0069268C" w:rsidRDefault="00431BE5" w:rsidP="00431BE5">
      <w:pPr>
        <w:rPr>
          <w:sz w:val="22"/>
        </w:rPr>
      </w:pPr>
    </w:p>
    <w:p w14:paraId="0A9187B4" w14:textId="77777777" w:rsidR="00431BE5" w:rsidRPr="0095456C" w:rsidRDefault="00431BE5" w:rsidP="00431BE5">
      <w:pPr>
        <w:rPr>
          <w:b/>
          <w:bCs/>
          <w:color w:val="E51937"/>
          <w:sz w:val="22"/>
        </w:rPr>
      </w:pPr>
      <w:r w:rsidRPr="0095456C">
        <w:rPr>
          <w:b/>
          <w:bCs/>
          <w:color w:val="E51937"/>
          <w:sz w:val="22"/>
        </w:rPr>
        <w:t>Accessibility</w:t>
      </w:r>
    </w:p>
    <w:p w14:paraId="0C0FB2ED" w14:textId="77777777" w:rsidR="00431BE5" w:rsidRDefault="00431BE5" w:rsidP="00431BE5">
      <w:pPr>
        <w:rPr>
          <w:sz w:val="22"/>
        </w:rPr>
      </w:pPr>
      <w:r w:rsidRPr="0069268C">
        <w:rPr>
          <w:sz w:val="22"/>
        </w:rPr>
        <w:t xml:space="preserve">Building on the foundation of education and awareness, advancing inclusion requires addressing structural and systemic barriers that shape campus experiences, pairing learning opportunities with environments, policies and systems that enable full participation. In January 2025, U of G published it’s </w:t>
      </w:r>
      <w:hyperlink r:id="rId9" w:history="1">
        <w:r w:rsidRPr="00DA4F59">
          <w:rPr>
            <w:rStyle w:val="Hyperlink"/>
            <w:sz w:val="22"/>
          </w:rPr>
          <w:t>2025-2027 Multi-Year Accessibility Plan</w:t>
        </w:r>
      </w:hyperlink>
      <w:r w:rsidRPr="0069268C">
        <w:rPr>
          <w:sz w:val="22"/>
        </w:rPr>
        <w:t xml:space="preserve">. This plan sets a bold, proactive direction for creating a campus where accessibility is embedded in every interaction, decision and environment. It employs an anti-ableist approach to examining systemic, physical and institutional barriers and lays a strong framework of action and strategies, aimed at addressing various aspects of accessibility. </w:t>
      </w:r>
    </w:p>
    <w:p w14:paraId="514FD9DB" w14:textId="77777777" w:rsidR="00431BE5" w:rsidRPr="0069268C" w:rsidRDefault="00431BE5" w:rsidP="00431BE5">
      <w:pPr>
        <w:rPr>
          <w:sz w:val="22"/>
        </w:rPr>
      </w:pPr>
      <w:r>
        <w:rPr>
          <w:sz w:val="22"/>
        </w:rPr>
        <w:t>Additionally, DHR is filing the university’s Accessibility for Ontarians with Disabilities Act compliance report. The report confirms the completion of all required accessibility actions across academic, administrative and operational units through a campus-wide compliance audit. As part of this compliance work, DHR is also submitting a Multi-Year Plan Progress Report which includes a yearly update on the progress made on the university’s Accessibility Multi-Year Plan.</w:t>
      </w:r>
    </w:p>
    <w:p w14:paraId="7F658364" w14:textId="77777777" w:rsidR="00431BE5" w:rsidRDefault="00431BE5" w:rsidP="00431BE5">
      <w:pPr>
        <w:rPr>
          <w:sz w:val="22"/>
        </w:rPr>
      </w:pPr>
      <w:r w:rsidRPr="0069268C">
        <w:rPr>
          <w:sz w:val="22"/>
        </w:rPr>
        <w:t>Feedback from industry partners and ministry representatives consistently affirms that the University of Gu</w:t>
      </w:r>
      <w:r>
        <w:rPr>
          <w:sz w:val="22"/>
        </w:rPr>
        <w:t>e</w:t>
      </w:r>
      <w:r w:rsidRPr="0069268C">
        <w:rPr>
          <w:sz w:val="22"/>
        </w:rPr>
        <w:t xml:space="preserve">lph is seen as a sector leader in accessibility. This recognition highlights the strength of our collaborative approach and our continued efforts to embed accessibility and inclusion across all areas of campus life. </w:t>
      </w:r>
    </w:p>
    <w:p w14:paraId="746E958D" w14:textId="77777777" w:rsidR="00431BE5" w:rsidRPr="0069268C" w:rsidRDefault="00431BE5" w:rsidP="00431BE5">
      <w:pPr>
        <w:rPr>
          <w:sz w:val="22"/>
        </w:rPr>
      </w:pPr>
    </w:p>
    <w:p w14:paraId="516C36BC" w14:textId="77777777" w:rsidR="00431BE5" w:rsidRPr="0095456C" w:rsidRDefault="00431BE5" w:rsidP="00431BE5">
      <w:pPr>
        <w:rPr>
          <w:b/>
          <w:bCs/>
          <w:color w:val="E51937"/>
          <w:sz w:val="22"/>
        </w:rPr>
      </w:pPr>
      <w:r w:rsidRPr="0095456C">
        <w:rPr>
          <w:b/>
          <w:bCs/>
          <w:color w:val="E51937"/>
          <w:sz w:val="22"/>
        </w:rPr>
        <w:t>Employment Equity</w:t>
      </w:r>
    </w:p>
    <w:p w14:paraId="3F7CB585" w14:textId="77777777" w:rsidR="00431BE5" w:rsidRDefault="00431BE5" w:rsidP="00431BE5">
      <w:pPr>
        <w:rPr>
          <w:sz w:val="22"/>
        </w:rPr>
      </w:pPr>
      <w:r w:rsidRPr="008E5A5B">
        <w:rPr>
          <w:sz w:val="22"/>
        </w:rPr>
        <w:t xml:space="preserve">Advancing employment equity </w:t>
      </w:r>
      <w:r>
        <w:rPr>
          <w:sz w:val="22"/>
        </w:rPr>
        <w:t xml:space="preserve">is a key component in the prevention and elimination of racism, discrimination and harassment in the workplace. DHR coordinates and spearheads the University’s employment equity program to increase diversity and equity in hiring and retention processes, as well as meeting government reporting requirements. DHR focuses on systemic efforts to identify gaps, educate, correct the conditions of disadvantage in employment for equity-deserving groups and give regular recommendations regarding diversity in hiring and retention practices. </w:t>
      </w:r>
    </w:p>
    <w:p w14:paraId="2E4C8662" w14:textId="77777777" w:rsidR="00431BE5" w:rsidRDefault="00431BE5" w:rsidP="00431BE5">
      <w:pPr>
        <w:rPr>
          <w:sz w:val="22"/>
        </w:rPr>
      </w:pPr>
      <w:r>
        <w:rPr>
          <w:sz w:val="22"/>
        </w:rPr>
        <w:t xml:space="preserve">In 2025, organizations with 50 or more employees who receive at least $1 million in federal contracts were required to complete and submit a compliance report to the Canadian Government on workforce representation of the four designated groups (Indigenous, Women, Persons with Disabilities, and Racialized Foils). Every three years, DHR issues a self-identification survey to staff and faculty to gain a </w:t>
      </w:r>
      <w:r>
        <w:rPr>
          <w:sz w:val="22"/>
        </w:rPr>
        <w:lastRenderedPageBreak/>
        <w:t xml:space="preserve">deeper understanding of our university community. The last survey distributed in 2022, and the most recent survey distributed in early winter 2025 resulted in an 82% response rate. </w:t>
      </w:r>
    </w:p>
    <w:p w14:paraId="48CC39FD" w14:textId="77777777" w:rsidR="00431BE5" w:rsidRDefault="00431BE5" w:rsidP="00431BE5">
      <w:pPr>
        <w:rPr>
          <w:sz w:val="22"/>
        </w:rPr>
      </w:pPr>
      <w:r>
        <w:rPr>
          <w:sz w:val="22"/>
        </w:rPr>
        <w:t xml:space="preserve">In April 2025, DHR submitted the compliance report including the census findings and was notified in May 2025 that U of G </w:t>
      </w:r>
      <w:proofErr w:type="gramStart"/>
      <w:r>
        <w:rPr>
          <w:sz w:val="22"/>
        </w:rPr>
        <w:t>is in compliance with</w:t>
      </w:r>
      <w:proofErr w:type="gramEnd"/>
      <w:r>
        <w:rPr>
          <w:sz w:val="22"/>
        </w:rPr>
        <w:t xml:space="preserve"> the Federal Contractor’s Program.</w:t>
      </w:r>
    </w:p>
    <w:p w14:paraId="5DD97753" w14:textId="77777777" w:rsidR="00431BE5" w:rsidRDefault="00431BE5" w:rsidP="00431BE5">
      <w:pPr>
        <w:rPr>
          <w:sz w:val="22"/>
        </w:rPr>
      </w:pPr>
      <w:r>
        <w:rPr>
          <w:sz w:val="22"/>
        </w:rPr>
        <w:t>This past summer, DHR met with U of G’s Employment Equity Committee to begin drafting a community report of the census findings, and the 2026-2028 Employment Equity Action Plan. They will be available to the U of G community in 2026.</w:t>
      </w:r>
    </w:p>
    <w:p w14:paraId="06487827" w14:textId="77777777" w:rsidR="0095456C" w:rsidRDefault="0095456C" w:rsidP="00431BE5">
      <w:pPr>
        <w:rPr>
          <w:sz w:val="22"/>
        </w:rPr>
      </w:pPr>
    </w:p>
    <w:p w14:paraId="3BC03FB4" w14:textId="26FB0055" w:rsidR="00431BE5" w:rsidRPr="0095456C" w:rsidRDefault="00431BE5" w:rsidP="00431BE5">
      <w:pPr>
        <w:rPr>
          <w:b/>
          <w:bCs/>
          <w:color w:val="E51937"/>
          <w:sz w:val="22"/>
        </w:rPr>
      </w:pPr>
      <w:r w:rsidRPr="0095456C">
        <w:rPr>
          <w:b/>
          <w:bCs/>
          <w:color w:val="E51937"/>
          <w:sz w:val="22"/>
        </w:rPr>
        <w:t>Inclusive Campus Environment</w:t>
      </w:r>
    </w:p>
    <w:p w14:paraId="5958A3A5" w14:textId="77777777" w:rsidR="00431BE5" w:rsidRDefault="00431BE5" w:rsidP="00431BE5">
      <w:pPr>
        <w:rPr>
          <w:sz w:val="22"/>
        </w:rPr>
      </w:pPr>
      <w:r>
        <w:rPr>
          <w:sz w:val="22"/>
        </w:rPr>
        <w:t xml:space="preserve">Establishing inclusive, respectful and welcoming communities is a foundational pillar at the University of Guelph and is essential to innovation, research excellence, sustainable academic success, workforce growth, enrollment and reputation. Our efforts extend beyond compliance and training to creating a vibrant campus environment that brings people together, amplifies underrepresented voices, and celebrates diversity in meaningful and visible ways. </w:t>
      </w:r>
    </w:p>
    <w:p w14:paraId="388AE72E" w14:textId="77777777" w:rsidR="00431BE5" w:rsidRDefault="00431BE5" w:rsidP="00431BE5">
      <w:pPr>
        <w:rPr>
          <w:sz w:val="22"/>
        </w:rPr>
      </w:pPr>
      <w:r>
        <w:rPr>
          <w:sz w:val="22"/>
        </w:rPr>
        <w:t xml:space="preserve">In 2020, DHR circulated its first EDI Initiatives Tracker Survey to understand the breadth of equity-related work underway across the institution. At that time, academic and non-academic units reported 145 EDI-related initiatives and 20 EDI-focused committees for the 2020-2021 academic year. When DHR re-launched this survey in 2025, the results showed a dramatic expansion: 430 EDI-related initiatives planned or completed between 2024-2026 academic years and at least 35 committees actively supporting this work. This sharp increase demonstrates the deepening engagement of colleges, departments and student services in fostering inclusivity across campus. </w:t>
      </w:r>
    </w:p>
    <w:p w14:paraId="43D39B50" w14:textId="77777777" w:rsidR="00431BE5" w:rsidRDefault="00431BE5" w:rsidP="00431BE5">
      <w:pPr>
        <w:rPr>
          <w:sz w:val="22"/>
        </w:rPr>
      </w:pPr>
      <w:r>
        <w:rPr>
          <w:sz w:val="22"/>
        </w:rPr>
        <w:t xml:space="preserve">To help coordinate and strengthen this growing momentum, DHR established an EDI Community of Practice in 2025. This network brings together EDI practitioners from across the University to share best practices and resources, explore emerging sector trends, align language and approaches, and collaborate on strategies that promote an inclusive, supportive and successful experience for all community members. </w:t>
      </w:r>
    </w:p>
    <w:p w14:paraId="27FA3078" w14:textId="77777777" w:rsidR="00431BE5" w:rsidRDefault="00431BE5" w:rsidP="00431BE5">
      <w:pPr>
        <w:rPr>
          <w:sz w:val="22"/>
        </w:rPr>
      </w:pPr>
      <w:r>
        <w:rPr>
          <w:sz w:val="22"/>
        </w:rPr>
        <w:t xml:space="preserve">Building on this institutional engagement, DHR launched U of G’s first-ever Inclusion Week in 2025. This week full of programming was designed to bring the community together for conversations, learning opportunities and events focused on belonging, anti-racism, anti-oppression, accessibility and human right. Designed to complement the University’s broader anti-racism and anti-hate efforts, the week featured a diverse range of events including special speakers, workshops, storytelling, and interactive learning activities that highlight the experiences of underrepresented groups and promote understanding across communities. </w:t>
      </w:r>
    </w:p>
    <w:p w14:paraId="44222E5B" w14:textId="77777777" w:rsidR="00431BE5" w:rsidRDefault="00431BE5" w:rsidP="00431BE5">
      <w:pPr>
        <w:rPr>
          <w:sz w:val="22"/>
        </w:rPr>
      </w:pPr>
      <w:r>
        <w:rPr>
          <w:sz w:val="22"/>
        </w:rPr>
        <w:t>Additionally, DHR launched the annual $200,000 EDI Enhancement Fund for the sixth year in a row to overwhelming response. DHR received 51 applications and were able to fund 37 amazing projects during the 2025 calendar year. These include but are not limited to:</w:t>
      </w:r>
    </w:p>
    <w:p w14:paraId="6E592CD3" w14:textId="77777777" w:rsidR="00431BE5" w:rsidRDefault="00431BE5" w:rsidP="00431BE5">
      <w:pPr>
        <w:pStyle w:val="ListParagraph"/>
        <w:numPr>
          <w:ilvl w:val="0"/>
          <w:numId w:val="4"/>
        </w:numPr>
        <w:rPr>
          <w:sz w:val="22"/>
        </w:rPr>
      </w:pPr>
      <w:r>
        <w:rPr>
          <w:sz w:val="22"/>
        </w:rPr>
        <w:t>Celebrating Women in Science</w:t>
      </w:r>
    </w:p>
    <w:p w14:paraId="6E199DB3" w14:textId="77777777" w:rsidR="00431BE5" w:rsidRDefault="00431BE5" w:rsidP="00431BE5">
      <w:pPr>
        <w:pStyle w:val="ListParagraph"/>
        <w:numPr>
          <w:ilvl w:val="0"/>
          <w:numId w:val="4"/>
        </w:numPr>
        <w:rPr>
          <w:sz w:val="22"/>
        </w:rPr>
      </w:pPr>
      <w:r>
        <w:rPr>
          <w:sz w:val="22"/>
        </w:rPr>
        <w:t>Caribbean Culture Club Events</w:t>
      </w:r>
    </w:p>
    <w:p w14:paraId="67C3D064" w14:textId="77777777" w:rsidR="00431BE5" w:rsidRDefault="00431BE5" w:rsidP="00431BE5">
      <w:pPr>
        <w:pStyle w:val="ListParagraph"/>
        <w:numPr>
          <w:ilvl w:val="0"/>
          <w:numId w:val="4"/>
        </w:numPr>
        <w:rPr>
          <w:sz w:val="22"/>
        </w:rPr>
      </w:pPr>
      <w:r>
        <w:rPr>
          <w:sz w:val="22"/>
        </w:rPr>
        <w:t>Mega Shabbat</w:t>
      </w:r>
    </w:p>
    <w:p w14:paraId="5E1E699D" w14:textId="77777777" w:rsidR="00431BE5" w:rsidRDefault="00431BE5" w:rsidP="00431BE5">
      <w:pPr>
        <w:pStyle w:val="ListParagraph"/>
        <w:numPr>
          <w:ilvl w:val="0"/>
          <w:numId w:val="4"/>
        </w:numPr>
        <w:rPr>
          <w:sz w:val="22"/>
        </w:rPr>
      </w:pPr>
      <w:r>
        <w:rPr>
          <w:sz w:val="22"/>
        </w:rPr>
        <w:t>U of G Black Faculty and Staff Network</w:t>
      </w:r>
    </w:p>
    <w:p w14:paraId="4FC68B58" w14:textId="77777777" w:rsidR="00431BE5" w:rsidRDefault="00431BE5" w:rsidP="00431BE5">
      <w:pPr>
        <w:pStyle w:val="ListParagraph"/>
        <w:numPr>
          <w:ilvl w:val="0"/>
          <w:numId w:val="4"/>
        </w:numPr>
        <w:rPr>
          <w:sz w:val="22"/>
        </w:rPr>
      </w:pPr>
      <w:r>
        <w:rPr>
          <w:sz w:val="22"/>
        </w:rPr>
        <w:t>CORE Mentorship Program for Black, Indigenous and racialized students</w:t>
      </w:r>
    </w:p>
    <w:p w14:paraId="0EDC8A9C" w14:textId="77777777" w:rsidR="00431BE5" w:rsidRDefault="00431BE5" w:rsidP="00431BE5">
      <w:pPr>
        <w:pStyle w:val="ListParagraph"/>
        <w:numPr>
          <w:ilvl w:val="0"/>
          <w:numId w:val="4"/>
        </w:numPr>
        <w:rPr>
          <w:sz w:val="22"/>
        </w:rPr>
      </w:pPr>
      <w:r>
        <w:rPr>
          <w:sz w:val="22"/>
        </w:rPr>
        <w:t>Gender Equity Exchange Series</w:t>
      </w:r>
    </w:p>
    <w:p w14:paraId="3DBE3BC5" w14:textId="77777777" w:rsidR="00431BE5" w:rsidRDefault="00431BE5" w:rsidP="00431BE5">
      <w:pPr>
        <w:pStyle w:val="ListParagraph"/>
        <w:numPr>
          <w:ilvl w:val="0"/>
          <w:numId w:val="4"/>
        </w:numPr>
        <w:rPr>
          <w:sz w:val="22"/>
        </w:rPr>
      </w:pPr>
      <w:r>
        <w:rPr>
          <w:sz w:val="22"/>
        </w:rPr>
        <w:t>Black History Month</w:t>
      </w:r>
    </w:p>
    <w:p w14:paraId="4607B7C7" w14:textId="77777777" w:rsidR="00431BE5" w:rsidRDefault="00431BE5" w:rsidP="00431BE5">
      <w:pPr>
        <w:pStyle w:val="ListParagraph"/>
        <w:numPr>
          <w:ilvl w:val="0"/>
          <w:numId w:val="4"/>
        </w:numPr>
        <w:rPr>
          <w:sz w:val="22"/>
        </w:rPr>
      </w:pPr>
      <w:r>
        <w:rPr>
          <w:sz w:val="22"/>
        </w:rPr>
        <w:t>Neurodiversity Club</w:t>
      </w:r>
    </w:p>
    <w:p w14:paraId="31222483" w14:textId="77777777" w:rsidR="00431BE5" w:rsidRDefault="00431BE5" w:rsidP="00431BE5">
      <w:pPr>
        <w:pStyle w:val="ListParagraph"/>
        <w:numPr>
          <w:ilvl w:val="0"/>
          <w:numId w:val="4"/>
        </w:numPr>
        <w:rPr>
          <w:sz w:val="22"/>
        </w:rPr>
      </w:pPr>
      <w:r>
        <w:rPr>
          <w:sz w:val="22"/>
        </w:rPr>
        <w:lastRenderedPageBreak/>
        <w:t>Queer Print Project</w:t>
      </w:r>
    </w:p>
    <w:p w14:paraId="05DF798E" w14:textId="77777777" w:rsidR="00431BE5" w:rsidRDefault="00431BE5" w:rsidP="00431BE5">
      <w:pPr>
        <w:pStyle w:val="ListParagraph"/>
        <w:numPr>
          <w:ilvl w:val="0"/>
          <w:numId w:val="4"/>
        </w:numPr>
        <w:rPr>
          <w:sz w:val="22"/>
        </w:rPr>
      </w:pPr>
      <w:r>
        <w:rPr>
          <w:sz w:val="22"/>
        </w:rPr>
        <w:t>Ramadan 2025</w:t>
      </w:r>
    </w:p>
    <w:p w14:paraId="6946E665" w14:textId="77777777" w:rsidR="00431BE5" w:rsidRPr="002B6F4A" w:rsidRDefault="00431BE5" w:rsidP="00431BE5">
      <w:pPr>
        <w:rPr>
          <w:sz w:val="22"/>
        </w:rPr>
      </w:pPr>
    </w:p>
    <w:p w14:paraId="6673B7B0" w14:textId="60213449" w:rsidR="00806B4B" w:rsidRPr="0095456C" w:rsidRDefault="00806B4B" w:rsidP="00431BE5">
      <w:pPr>
        <w:pStyle w:val="CalltoAction"/>
        <w:rPr>
          <w:rFonts w:ascii="Bitter" w:hAnsi="Bitter"/>
          <w:color w:val="E51937"/>
          <w:sz w:val="28"/>
          <w:szCs w:val="28"/>
        </w:rPr>
      </w:pPr>
      <w:r w:rsidRPr="0095456C">
        <w:rPr>
          <w:rFonts w:ascii="Bitter" w:hAnsi="Bitter"/>
          <w:color w:val="E51937"/>
          <w:sz w:val="28"/>
          <w:szCs w:val="28"/>
        </w:rPr>
        <w:t>In Summary</w:t>
      </w:r>
    </w:p>
    <w:p w14:paraId="1E3D7932" w14:textId="77777777" w:rsidR="00806B4B" w:rsidRPr="00806B4B" w:rsidRDefault="00806B4B" w:rsidP="00431BE5">
      <w:pPr>
        <w:pStyle w:val="CalltoAction"/>
        <w:rPr>
          <w:rFonts w:ascii="Bitter" w:hAnsi="Bitter"/>
          <w:color w:val="EE0000"/>
          <w:sz w:val="28"/>
          <w:szCs w:val="28"/>
        </w:rPr>
      </w:pPr>
    </w:p>
    <w:p w14:paraId="38377D8B" w14:textId="6546C155" w:rsidR="00431BE5" w:rsidRPr="002B6F4A" w:rsidRDefault="00431BE5" w:rsidP="00431BE5">
      <w:pPr>
        <w:pStyle w:val="CalltoAction"/>
        <w:rPr>
          <w:b w:val="0"/>
          <w:bCs w:val="0"/>
          <w:sz w:val="22"/>
          <w:szCs w:val="22"/>
        </w:rPr>
      </w:pPr>
      <w:r>
        <w:rPr>
          <w:b w:val="0"/>
          <w:bCs w:val="0"/>
          <w:sz w:val="22"/>
          <w:szCs w:val="22"/>
        </w:rPr>
        <w:t>The University of Guelph is deeply committed to fostering an inclusive, accessible, and respectful campus that proactively addresses racism, hate, and discrimination. Through targeted education, strengthened accessibility systems, equity, human rights and anti-racism policies and procedures and community-driven engagement, the University continues to mitigate the conditions that contribute to racism, hate and discrimination. This ongoing commitment ensures that the University takes a prevention-focused approach that aligns with the intent of Bill 166.</w:t>
      </w:r>
    </w:p>
    <w:p w14:paraId="4B865C58" w14:textId="77777777" w:rsidR="004550A4" w:rsidRDefault="004550A4"/>
    <w:sectPr w:rsidR="004550A4" w:rsidSect="00431B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Aptos Display">
    <w:charset w:val="00"/>
    <w:family w:val="swiss"/>
    <w:pitch w:val="variable"/>
    <w:sig w:usb0="20000287" w:usb1="00000003" w:usb2="00000000" w:usb3="00000000" w:csb0="0000019F" w:csb1="00000000"/>
  </w:font>
  <w:font w:name="Bitter">
    <w:panose1 w:val="00000000000000000000"/>
    <w:charset w:val="00"/>
    <w:family w:val="auto"/>
    <w:pitch w:val="variable"/>
    <w:sig w:usb0="A00002FF" w:usb1="400020F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2515A"/>
    <w:multiLevelType w:val="hybridMultilevel"/>
    <w:tmpl w:val="93720B3A"/>
    <w:lvl w:ilvl="0" w:tplc="07B63B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D37743"/>
    <w:multiLevelType w:val="hybridMultilevel"/>
    <w:tmpl w:val="45CC2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383FAC"/>
    <w:multiLevelType w:val="hybridMultilevel"/>
    <w:tmpl w:val="D52E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8E2EC4"/>
    <w:multiLevelType w:val="hybridMultilevel"/>
    <w:tmpl w:val="7EEC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528174">
    <w:abstractNumId w:val="2"/>
  </w:num>
  <w:num w:numId="2" w16cid:durableId="365298797">
    <w:abstractNumId w:val="0"/>
  </w:num>
  <w:num w:numId="3" w16cid:durableId="893933485">
    <w:abstractNumId w:val="1"/>
  </w:num>
  <w:num w:numId="4" w16cid:durableId="213737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E5"/>
    <w:rsid w:val="00072494"/>
    <w:rsid w:val="003B31FC"/>
    <w:rsid w:val="00431BE5"/>
    <w:rsid w:val="004550A4"/>
    <w:rsid w:val="00521D5F"/>
    <w:rsid w:val="00662FE4"/>
    <w:rsid w:val="007D7653"/>
    <w:rsid w:val="00806B4B"/>
    <w:rsid w:val="0095456C"/>
    <w:rsid w:val="0098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8929"/>
  <w15:chartTrackingRefBased/>
  <w15:docId w15:val="{99CC1E05-7E3C-4DA7-B2F5-907B13B4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E5"/>
    <w:pPr>
      <w:spacing w:line="240" w:lineRule="auto"/>
    </w:pPr>
    <w:rPr>
      <w:rFonts w:ascii="DM Sans" w:hAnsi="DM Sans"/>
      <w:sz w:val="20"/>
      <w:szCs w:val="22"/>
      <w:lang w:val="en-CA"/>
    </w:rPr>
  </w:style>
  <w:style w:type="paragraph" w:styleId="Heading1">
    <w:name w:val="heading 1"/>
    <w:basedOn w:val="Normal"/>
    <w:next w:val="Normal"/>
    <w:link w:val="Heading1Char"/>
    <w:uiPriority w:val="9"/>
    <w:qFormat/>
    <w:rsid w:val="00431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1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1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BE5"/>
    <w:rPr>
      <w:rFonts w:eastAsiaTheme="majorEastAsia" w:cstheme="majorBidi"/>
      <w:color w:val="272727" w:themeColor="text1" w:themeTint="D8"/>
    </w:rPr>
  </w:style>
  <w:style w:type="paragraph" w:styleId="Title">
    <w:name w:val="Title"/>
    <w:basedOn w:val="Normal"/>
    <w:next w:val="Normal"/>
    <w:link w:val="TitleChar"/>
    <w:uiPriority w:val="10"/>
    <w:qFormat/>
    <w:rsid w:val="00431B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BE5"/>
    <w:pPr>
      <w:spacing w:before="160"/>
      <w:jc w:val="center"/>
    </w:pPr>
    <w:rPr>
      <w:i/>
      <w:iCs/>
      <w:color w:val="404040" w:themeColor="text1" w:themeTint="BF"/>
    </w:rPr>
  </w:style>
  <w:style w:type="character" w:customStyle="1" w:styleId="QuoteChar">
    <w:name w:val="Quote Char"/>
    <w:basedOn w:val="DefaultParagraphFont"/>
    <w:link w:val="Quote"/>
    <w:uiPriority w:val="29"/>
    <w:rsid w:val="00431BE5"/>
    <w:rPr>
      <w:i/>
      <w:iCs/>
      <w:color w:val="404040" w:themeColor="text1" w:themeTint="BF"/>
    </w:rPr>
  </w:style>
  <w:style w:type="paragraph" w:styleId="ListParagraph">
    <w:name w:val="List Paragraph"/>
    <w:basedOn w:val="Normal"/>
    <w:uiPriority w:val="34"/>
    <w:qFormat/>
    <w:rsid w:val="00431BE5"/>
    <w:pPr>
      <w:ind w:left="720"/>
      <w:contextualSpacing/>
    </w:pPr>
  </w:style>
  <w:style w:type="character" w:styleId="IntenseEmphasis">
    <w:name w:val="Intense Emphasis"/>
    <w:basedOn w:val="DefaultParagraphFont"/>
    <w:uiPriority w:val="21"/>
    <w:qFormat/>
    <w:rsid w:val="00431BE5"/>
    <w:rPr>
      <w:i/>
      <w:iCs/>
      <w:color w:val="0F4761" w:themeColor="accent1" w:themeShade="BF"/>
    </w:rPr>
  </w:style>
  <w:style w:type="paragraph" w:styleId="IntenseQuote">
    <w:name w:val="Intense Quote"/>
    <w:basedOn w:val="Normal"/>
    <w:next w:val="Normal"/>
    <w:link w:val="IntenseQuoteChar"/>
    <w:uiPriority w:val="30"/>
    <w:qFormat/>
    <w:rsid w:val="00431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BE5"/>
    <w:rPr>
      <w:i/>
      <w:iCs/>
      <w:color w:val="0F4761" w:themeColor="accent1" w:themeShade="BF"/>
    </w:rPr>
  </w:style>
  <w:style w:type="character" w:styleId="IntenseReference">
    <w:name w:val="Intense Reference"/>
    <w:basedOn w:val="DefaultParagraphFont"/>
    <w:uiPriority w:val="32"/>
    <w:qFormat/>
    <w:rsid w:val="00431BE5"/>
    <w:rPr>
      <w:b/>
      <w:bCs/>
      <w:smallCaps/>
      <w:color w:val="0F4761" w:themeColor="accent1" w:themeShade="BF"/>
      <w:spacing w:val="5"/>
    </w:rPr>
  </w:style>
  <w:style w:type="paragraph" w:customStyle="1" w:styleId="CalltoAction">
    <w:name w:val="Call to Action"/>
    <w:basedOn w:val="Normal"/>
    <w:link w:val="CalltoActionChar"/>
    <w:qFormat/>
    <w:rsid w:val="00431BE5"/>
    <w:pPr>
      <w:spacing w:after="0"/>
    </w:pPr>
    <w:rPr>
      <w:b/>
      <w:bCs/>
      <w:sz w:val="24"/>
      <w:szCs w:val="24"/>
    </w:rPr>
  </w:style>
  <w:style w:type="character" w:customStyle="1" w:styleId="CalltoActionChar">
    <w:name w:val="Call to Action Char"/>
    <w:basedOn w:val="DefaultParagraphFont"/>
    <w:link w:val="CalltoAction"/>
    <w:rsid w:val="00431BE5"/>
    <w:rPr>
      <w:rFonts w:ascii="DM Sans" w:hAnsi="DM Sans"/>
      <w:b/>
      <w:bCs/>
      <w:lang w:val="en-CA"/>
    </w:rPr>
  </w:style>
  <w:style w:type="table" w:customStyle="1" w:styleId="Style2">
    <w:name w:val="Style2"/>
    <w:basedOn w:val="TableNormal"/>
    <w:uiPriority w:val="99"/>
    <w:rsid w:val="00431BE5"/>
    <w:pPr>
      <w:spacing w:after="0" w:line="240" w:lineRule="auto"/>
      <w:jc w:val="center"/>
    </w:pPr>
    <w:rPr>
      <w:sz w:val="22"/>
      <w:szCs w:val="22"/>
    </w:rPr>
    <w:tblP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FFFFFF" w:themeColor="background1"/>
      </w:rPr>
      <w:tblPr/>
      <w:tcPr>
        <w:shd w:val="clear" w:color="auto" w:fill="4EA72E" w:themeFill="accent6"/>
      </w:tcPr>
    </w:tblStylePr>
    <w:tblStylePr w:type="firstCol">
      <w:pPr>
        <w:jc w:val="left"/>
      </w:p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A02B93" w:themeFill="accent5"/>
      </w:tcPr>
    </w:tblStylePr>
  </w:style>
  <w:style w:type="paragraph" w:styleId="Caption">
    <w:name w:val="caption"/>
    <w:basedOn w:val="Normal"/>
    <w:next w:val="Normal"/>
    <w:uiPriority w:val="35"/>
    <w:unhideWhenUsed/>
    <w:qFormat/>
    <w:rsid w:val="00431BE5"/>
    <w:pPr>
      <w:spacing w:after="200"/>
    </w:pPr>
    <w:rPr>
      <w:rFonts w:asciiTheme="minorHAnsi" w:hAnsiTheme="minorHAnsi"/>
      <w:i/>
      <w:iCs/>
      <w:color w:val="0E2841" w:themeColor="text2"/>
      <w:sz w:val="18"/>
      <w:szCs w:val="18"/>
      <w:lang w:val="en-US"/>
    </w:rPr>
  </w:style>
  <w:style w:type="character" w:styleId="Hyperlink">
    <w:name w:val="Hyperlink"/>
    <w:basedOn w:val="DefaultParagraphFont"/>
    <w:uiPriority w:val="99"/>
    <w:unhideWhenUsed/>
    <w:rsid w:val="00431BE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oguelph.ca/diversity-human-rights/human-rights-policy-and-procedures"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oguelph.ca/diversity-human-rights/system/files/Multi-Year%20Accessibility%20Plan%202025-2027%20-%20Accessible.doc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Human Rights Cases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D37-4E9F-A0B0-34189D6E7E7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D37-4E9F-A0B0-34189D6E7E7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D37-4E9F-A0B0-34189D6E7E7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D37-4E9F-A0B0-34189D6E7E7C}"/>
              </c:ext>
            </c:extLst>
          </c:dPt>
          <c:cat>
            <c:strRef>
              <c:f>Sheet1!$A$2:$A$5</c:f>
              <c:strCache>
                <c:ptCount val="3"/>
                <c:pt idx="0">
                  <c:v>Race</c:v>
                </c:pt>
                <c:pt idx="1">
                  <c:v>Gender Identity</c:v>
                </c:pt>
                <c:pt idx="2">
                  <c:v>Ethnic Origin</c:v>
                </c:pt>
              </c:strCache>
            </c:strRef>
          </c:cat>
          <c:val>
            <c:numRef>
              <c:f>Sheet1!$B$2:$B$5</c:f>
              <c:numCache>
                <c:formatCode>General</c:formatCode>
                <c:ptCount val="4"/>
                <c:pt idx="0">
                  <c:v>50</c:v>
                </c:pt>
                <c:pt idx="1">
                  <c:v>25</c:v>
                </c:pt>
                <c:pt idx="2">
                  <c:v>25</c:v>
                </c:pt>
              </c:numCache>
            </c:numRef>
          </c:val>
          <c:extLst>
            <c:ext xmlns:c16="http://schemas.microsoft.com/office/drawing/2014/chart" uri="{C3380CC4-5D6E-409C-BE32-E72D297353CC}">
              <c16:uniqueId val="{00000008-FD37-4E9F-A0B0-34189D6E7E7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Number of Trainings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Sheet1!$B$2:$B$8</c:f>
              <c:numCache>
                <c:formatCode>General</c:formatCode>
                <c:ptCount val="7"/>
                <c:pt idx="0">
                  <c:v>17</c:v>
                </c:pt>
                <c:pt idx="1">
                  <c:v>41</c:v>
                </c:pt>
                <c:pt idx="2">
                  <c:v>55</c:v>
                </c:pt>
                <c:pt idx="3">
                  <c:v>47</c:v>
                </c:pt>
                <c:pt idx="4">
                  <c:v>49</c:v>
                </c:pt>
                <c:pt idx="5">
                  <c:v>60</c:v>
                </c:pt>
                <c:pt idx="6">
                  <c:v>59</c:v>
                </c:pt>
              </c:numCache>
            </c:numRef>
          </c:val>
          <c:smooth val="0"/>
          <c:extLst>
            <c:ext xmlns:c16="http://schemas.microsoft.com/office/drawing/2014/chart" uri="{C3380CC4-5D6E-409C-BE32-E72D297353CC}">
              <c16:uniqueId val="{00000000-3D4B-437F-BAEB-8B774FC8408C}"/>
            </c:ext>
          </c:extLst>
        </c:ser>
        <c:dLbls>
          <c:showLegendKey val="0"/>
          <c:showVal val="0"/>
          <c:showCatName val="0"/>
          <c:showSerName val="0"/>
          <c:showPercent val="0"/>
          <c:showBubbleSize val="0"/>
        </c:dLbls>
        <c:marker val="1"/>
        <c:smooth val="0"/>
        <c:axId val="507072256"/>
        <c:axId val="507072736"/>
      </c:lineChart>
      <c:catAx>
        <c:axId val="50707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072736"/>
        <c:crosses val="autoZero"/>
        <c:auto val="1"/>
        <c:lblAlgn val="ctr"/>
        <c:lblOffset val="100"/>
        <c:noMultiLvlLbl val="0"/>
      </c:catAx>
      <c:valAx>
        <c:axId val="50707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07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Guelph</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Sinclair-Halls</dc:creator>
  <cp:keywords/>
  <dc:description/>
  <cp:lastModifiedBy>Meghan Sinclair-Halls</cp:lastModifiedBy>
  <cp:revision>1</cp:revision>
  <dcterms:created xsi:type="dcterms:W3CDTF">2026-01-30T20:09:00Z</dcterms:created>
  <dcterms:modified xsi:type="dcterms:W3CDTF">2026-01-30T20:38:00Z</dcterms:modified>
</cp:coreProperties>
</file>