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1A4BF5" w14:textId="2572E0BB" w:rsidR="0003392D" w:rsidRDefault="00E967D5">
      <w:pPr>
        <w:spacing w:after="120"/>
      </w:pPr>
      <w:r w:rsidRPr="00EC5211">
        <w:rPr>
          <w:noProof/>
          <w:sz w:val="16"/>
          <w:szCs w:val="16"/>
          <w:lang w:val="en-US"/>
        </w:rPr>
        <w:drawing>
          <wp:anchor distT="0" distB="0" distL="114300" distR="114300" simplePos="0" relativeHeight="251659264" behindDoc="1" locked="0" layoutInCell="1" allowOverlap="1" wp14:anchorId="43241F54" wp14:editId="5BD2C41A">
            <wp:simplePos x="0" y="0"/>
            <wp:positionH relativeFrom="column">
              <wp:posOffset>0</wp:posOffset>
            </wp:positionH>
            <wp:positionV relativeFrom="paragraph">
              <wp:posOffset>-635</wp:posOffset>
            </wp:positionV>
            <wp:extent cx="4248448" cy="810883"/>
            <wp:effectExtent l="0" t="0" r="0" b="0"/>
            <wp:wrapNone/>
            <wp:docPr id="14836627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68949" cy="8147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BCC800" w14:textId="77777777" w:rsidR="00E967D5" w:rsidRDefault="00E967D5">
      <w:pPr>
        <w:spacing w:after="120"/>
      </w:pPr>
    </w:p>
    <w:p w14:paraId="44D55EF6" w14:textId="77777777" w:rsidR="00E967D5" w:rsidRDefault="00E967D5">
      <w:pPr>
        <w:spacing w:after="120"/>
      </w:pPr>
    </w:p>
    <w:p w14:paraId="11AE06C2" w14:textId="77777777" w:rsidR="00E967D5" w:rsidRDefault="00E967D5">
      <w:pPr>
        <w:spacing w:after="120"/>
      </w:pPr>
    </w:p>
    <w:p w14:paraId="75CDB986" w14:textId="41E9E8E0" w:rsidR="00E967D5" w:rsidRPr="004D0B58" w:rsidRDefault="00E967D5" w:rsidP="00E967D5">
      <w:pPr>
        <w:framePr w:hSpace="180" w:wrap="around" w:vAnchor="text" w:hAnchor="text" w:y="1"/>
        <w:suppressOverlap/>
        <w:jc w:val="right"/>
        <w:rPr>
          <w:b/>
          <w:bCs/>
          <w:color w:val="1B3D4F"/>
          <w:sz w:val="28"/>
          <w:szCs w:val="28"/>
        </w:rPr>
      </w:pPr>
      <w:r w:rsidRPr="004D0B58">
        <w:rPr>
          <w:b/>
          <w:bCs/>
          <w:color w:val="1B3D4F"/>
          <w:sz w:val="28"/>
          <w:szCs w:val="28"/>
        </w:rPr>
        <w:t xml:space="preserve">ECON*3300: </w:t>
      </w:r>
      <w:r w:rsidR="00977746">
        <w:rPr>
          <w:b/>
          <w:bCs/>
          <w:color w:val="1B3D4F"/>
          <w:sz w:val="28"/>
          <w:szCs w:val="28"/>
        </w:rPr>
        <w:t xml:space="preserve">Economics of </w:t>
      </w:r>
      <w:r w:rsidRPr="004D0B58">
        <w:rPr>
          <w:b/>
          <w:bCs/>
          <w:color w:val="1B3D4F"/>
          <w:sz w:val="28"/>
          <w:szCs w:val="28"/>
        </w:rPr>
        <w:t xml:space="preserve">Health </w:t>
      </w:r>
      <w:r w:rsidR="00977746">
        <w:rPr>
          <w:b/>
          <w:bCs/>
          <w:color w:val="1B3D4F"/>
          <w:sz w:val="28"/>
          <w:szCs w:val="28"/>
        </w:rPr>
        <w:t>and Workplaces</w:t>
      </w:r>
    </w:p>
    <w:p w14:paraId="293132C5" w14:textId="020BD101" w:rsidR="00E967D5" w:rsidRPr="004D0B58" w:rsidRDefault="00E967D5" w:rsidP="00E967D5">
      <w:pPr>
        <w:framePr w:hSpace="180" w:wrap="around" w:vAnchor="text" w:hAnchor="text" w:y="1"/>
        <w:suppressOverlap/>
        <w:jc w:val="right"/>
        <w:rPr>
          <w:b/>
          <w:bCs/>
          <w:color w:val="1B3D4F"/>
          <w:sz w:val="28"/>
          <w:szCs w:val="28"/>
        </w:rPr>
      </w:pPr>
      <w:r w:rsidRPr="004D0B58">
        <w:rPr>
          <w:b/>
          <w:bCs/>
          <w:color w:val="1B3D4F"/>
          <w:sz w:val="28"/>
          <w:szCs w:val="28"/>
        </w:rPr>
        <w:t>Fall 2026</w:t>
      </w:r>
    </w:p>
    <w:p w14:paraId="190CAA04" w14:textId="5881B9C0" w:rsidR="00E967D5" w:rsidRPr="004D0B58" w:rsidRDefault="00E967D5" w:rsidP="00E967D5">
      <w:pPr>
        <w:framePr w:hSpace="180" w:wrap="around" w:vAnchor="text" w:hAnchor="text" w:y="1"/>
        <w:suppressOverlap/>
        <w:jc w:val="right"/>
        <w:rPr>
          <w:sz w:val="28"/>
          <w:szCs w:val="28"/>
        </w:rPr>
      </w:pPr>
      <w:r w:rsidRPr="004D0B58">
        <w:rPr>
          <w:b/>
          <w:bCs/>
          <w:color w:val="1B3D4F"/>
          <w:sz w:val="28"/>
          <w:szCs w:val="28"/>
        </w:rPr>
        <w:t>0.5 Credits</w:t>
      </w:r>
    </w:p>
    <w:p w14:paraId="5FE0DEAD" w14:textId="03BFE2E8" w:rsidR="0003392D" w:rsidRDefault="00000000" w:rsidP="000355A3">
      <w:pPr>
        <w:pStyle w:val="Heading1"/>
        <w:shd w:val="clear" w:color="auto" w:fill="D9D9D9" w:themeFill="background1" w:themeFillShade="D9"/>
      </w:pPr>
      <w:r w:rsidRPr="000355A3">
        <w:rPr>
          <w:highlight w:val="lightGray"/>
        </w:rPr>
        <w:t>General Course Information</w:t>
      </w:r>
    </w:p>
    <w:tbl>
      <w:tblPr>
        <w:tblW w:w="9360" w:type="dxa"/>
        <w:tblCellMar>
          <w:left w:w="10" w:type="dxa"/>
          <w:right w:w="10" w:type="dxa"/>
        </w:tblCellMar>
        <w:tblLook w:val="04A0" w:firstRow="1" w:lastRow="0" w:firstColumn="1" w:lastColumn="0" w:noHBand="0" w:noVBand="1"/>
      </w:tblPr>
      <w:tblGrid>
        <w:gridCol w:w="2700"/>
        <w:gridCol w:w="6660"/>
      </w:tblGrid>
      <w:tr w:rsidR="0003392D" w14:paraId="540012F7" w14:textId="77777777" w:rsidTr="00656870">
        <w:tc>
          <w:tcPr>
            <w:tcW w:w="2700" w:type="dxa"/>
            <w:shd w:val="clear" w:color="auto" w:fill="FFFFFF"/>
          </w:tcPr>
          <w:p w14:paraId="50CB8989" w14:textId="77777777" w:rsidR="0003392D" w:rsidRDefault="00000000">
            <w:pPr>
              <w:spacing w:before="60" w:after="60"/>
            </w:pPr>
            <w:r>
              <w:rPr>
                <w:b/>
                <w:bCs/>
                <w:color w:val="000000"/>
              </w:rPr>
              <w:t>Instructor:</w:t>
            </w:r>
          </w:p>
        </w:tc>
        <w:tc>
          <w:tcPr>
            <w:tcW w:w="6660" w:type="dxa"/>
            <w:shd w:val="clear" w:color="auto" w:fill="FFFFFF"/>
          </w:tcPr>
          <w:p w14:paraId="2B681BD2" w14:textId="77777777" w:rsidR="0003392D" w:rsidRDefault="00000000">
            <w:pPr>
              <w:spacing w:before="60" w:after="60"/>
            </w:pPr>
            <w:r>
              <w:rPr>
                <w:color w:val="000000"/>
              </w:rPr>
              <w:t>Dr. Hai Nguyen</w:t>
            </w:r>
          </w:p>
        </w:tc>
      </w:tr>
      <w:tr w:rsidR="00656870" w14:paraId="1EDA256B" w14:textId="77777777" w:rsidTr="00656870">
        <w:tc>
          <w:tcPr>
            <w:tcW w:w="2700" w:type="dxa"/>
            <w:shd w:val="clear" w:color="auto" w:fill="FFFFFF"/>
          </w:tcPr>
          <w:p w14:paraId="0A808462" w14:textId="05B160C3" w:rsidR="00656870" w:rsidRPr="00656870" w:rsidRDefault="00656870">
            <w:pPr>
              <w:spacing w:before="60" w:after="60"/>
              <w:rPr>
                <w:i/>
                <w:iCs/>
                <w:color w:val="000000"/>
              </w:rPr>
            </w:pPr>
            <w:r w:rsidRPr="00656870">
              <w:rPr>
                <w:i/>
                <w:iCs/>
                <w:color w:val="000000"/>
              </w:rPr>
              <w:t>Email</w:t>
            </w:r>
          </w:p>
        </w:tc>
        <w:tc>
          <w:tcPr>
            <w:tcW w:w="6660" w:type="dxa"/>
            <w:shd w:val="clear" w:color="auto" w:fill="FFFFFF"/>
          </w:tcPr>
          <w:p w14:paraId="7F634850" w14:textId="4651E410" w:rsidR="00DC7C3A" w:rsidRDefault="00DC7C3A" w:rsidP="00DC7C3A">
            <w:pPr>
              <w:spacing w:before="60" w:after="60"/>
              <w:rPr>
                <w:color w:val="000000"/>
              </w:rPr>
            </w:pPr>
            <w:hyperlink r:id="rId7" w:history="1">
              <w:r w:rsidRPr="00A2119B">
                <w:rPr>
                  <w:rStyle w:val="Hyperlink"/>
                </w:rPr>
                <w:t>vanhai@uoguelph.ca</w:t>
              </w:r>
            </w:hyperlink>
          </w:p>
        </w:tc>
      </w:tr>
      <w:tr w:rsidR="0003392D" w14:paraId="1E943747" w14:textId="77777777" w:rsidTr="000355A3">
        <w:tc>
          <w:tcPr>
            <w:tcW w:w="2700" w:type="dxa"/>
            <w:shd w:val="clear" w:color="auto" w:fill="FFFFFF"/>
          </w:tcPr>
          <w:p w14:paraId="29A4A0E7" w14:textId="77777777" w:rsidR="0003392D" w:rsidRPr="000355A3" w:rsidRDefault="00000000" w:rsidP="000355A3">
            <w:pPr>
              <w:spacing w:before="60" w:after="60"/>
              <w:rPr>
                <w:i/>
                <w:iCs/>
              </w:rPr>
            </w:pPr>
            <w:r w:rsidRPr="000355A3">
              <w:rPr>
                <w:i/>
                <w:iCs/>
                <w:color w:val="000000"/>
              </w:rPr>
              <w:t>Office Location:</w:t>
            </w:r>
          </w:p>
        </w:tc>
        <w:tc>
          <w:tcPr>
            <w:tcW w:w="6660" w:type="dxa"/>
            <w:shd w:val="clear" w:color="auto" w:fill="FFFFFF"/>
          </w:tcPr>
          <w:p w14:paraId="2BBD773D" w14:textId="4AEF5B39" w:rsidR="0003392D" w:rsidRDefault="00690CA3">
            <w:pPr>
              <w:spacing w:before="60" w:after="60"/>
            </w:pPr>
            <w:r>
              <w:rPr>
                <w:rFonts w:ascii="Aptos" w:hAnsi="Aptos"/>
                <w:color w:val="000000"/>
              </w:rPr>
              <w:t>Mackinnon Room 738</w:t>
            </w:r>
          </w:p>
        </w:tc>
      </w:tr>
      <w:tr w:rsidR="00656870" w14:paraId="63171705" w14:textId="77777777" w:rsidTr="000355A3">
        <w:tc>
          <w:tcPr>
            <w:tcW w:w="2700" w:type="dxa"/>
            <w:shd w:val="clear" w:color="auto" w:fill="FFFFFF"/>
          </w:tcPr>
          <w:p w14:paraId="2C0048F9" w14:textId="3AF44548" w:rsidR="00656870" w:rsidRPr="000355A3" w:rsidRDefault="00656870" w:rsidP="000355A3">
            <w:pPr>
              <w:spacing w:before="60" w:after="60"/>
              <w:rPr>
                <w:i/>
                <w:iCs/>
                <w:color w:val="000000"/>
              </w:rPr>
            </w:pPr>
            <w:r>
              <w:rPr>
                <w:i/>
                <w:iCs/>
                <w:color w:val="000000"/>
              </w:rPr>
              <w:t>Office Hours</w:t>
            </w:r>
          </w:p>
        </w:tc>
        <w:tc>
          <w:tcPr>
            <w:tcW w:w="6660" w:type="dxa"/>
            <w:shd w:val="clear" w:color="auto" w:fill="FFFFFF"/>
          </w:tcPr>
          <w:p w14:paraId="21FC3201" w14:textId="5B915234" w:rsidR="00656870" w:rsidRDefault="00656870">
            <w:pPr>
              <w:spacing w:before="60" w:after="60"/>
              <w:rPr>
                <w:rFonts w:ascii="Aptos" w:hAnsi="Aptos"/>
                <w:color w:val="000000"/>
              </w:rPr>
            </w:pPr>
            <w:r>
              <w:rPr>
                <w:rFonts w:ascii="Aptos" w:hAnsi="Aptos"/>
                <w:color w:val="000000"/>
              </w:rPr>
              <w:t>By appointment</w:t>
            </w:r>
          </w:p>
        </w:tc>
      </w:tr>
      <w:tr w:rsidR="0003392D" w14:paraId="24BF55B2" w14:textId="77777777" w:rsidTr="000355A3">
        <w:tc>
          <w:tcPr>
            <w:tcW w:w="2700" w:type="dxa"/>
            <w:shd w:val="clear" w:color="auto" w:fill="FFFFFF"/>
          </w:tcPr>
          <w:p w14:paraId="41D27E36" w14:textId="77777777" w:rsidR="0003392D" w:rsidRPr="000355A3" w:rsidRDefault="00000000" w:rsidP="000355A3">
            <w:pPr>
              <w:spacing w:before="60" w:after="60"/>
              <w:rPr>
                <w:i/>
                <w:iCs/>
              </w:rPr>
            </w:pPr>
            <w:r w:rsidRPr="000355A3">
              <w:rPr>
                <w:i/>
                <w:iCs/>
                <w:color w:val="000000"/>
              </w:rPr>
              <w:t>Department/School:</w:t>
            </w:r>
          </w:p>
        </w:tc>
        <w:tc>
          <w:tcPr>
            <w:tcW w:w="6660" w:type="dxa"/>
            <w:shd w:val="clear" w:color="auto" w:fill="FFFFFF"/>
          </w:tcPr>
          <w:p w14:paraId="4340B728" w14:textId="77777777" w:rsidR="0003392D" w:rsidRDefault="00000000">
            <w:pPr>
              <w:spacing w:before="60" w:after="60"/>
            </w:pPr>
            <w:r>
              <w:rPr>
                <w:color w:val="000000"/>
              </w:rPr>
              <w:t>Department of Economics and Finance, Gordon S. Lang School of Business and Economics</w:t>
            </w:r>
          </w:p>
        </w:tc>
      </w:tr>
      <w:tr w:rsidR="00656870" w14:paraId="761DAD51" w14:textId="77777777" w:rsidTr="000355A3">
        <w:tc>
          <w:tcPr>
            <w:tcW w:w="2700" w:type="dxa"/>
            <w:shd w:val="clear" w:color="auto" w:fill="FFFFFF"/>
          </w:tcPr>
          <w:p w14:paraId="3F46DBD3" w14:textId="730ACF12" w:rsidR="00656870" w:rsidRPr="00656870" w:rsidRDefault="00656870" w:rsidP="000355A3">
            <w:pPr>
              <w:spacing w:before="60" w:after="60"/>
              <w:rPr>
                <w:b/>
                <w:bCs/>
                <w:color w:val="000000"/>
              </w:rPr>
            </w:pPr>
            <w:r w:rsidRPr="00656870">
              <w:rPr>
                <w:b/>
                <w:bCs/>
                <w:color w:val="000000"/>
              </w:rPr>
              <w:t xml:space="preserve">Class Schedule </w:t>
            </w:r>
          </w:p>
        </w:tc>
        <w:tc>
          <w:tcPr>
            <w:tcW w:w="6660" w:type="dxa"/>
            <w:shd w:val="clear" w:color="auto" w:fill="FFFFFF"/>
          </w:tcPr>
          <w:p w14:paraId="1C6BFEE1" w14:textId="5E4557B0" w:rsidR="00656870" w:rsidRDefault="00656870">
            <w:pPr>
              <w:spacing w:before="60" w:after="60"/>
              <w:rPr>
                <w:color w:val="000000"/>
              </w:rPr>
            </w:pPr>
            <w:r>
              <w:rPr>
                <w:color w:val="000000"/>
              </w:rPr>
              <w:t>Tuesday and Thursday, 8:30 – 9:50 AM, Room MACS 209</w:t>
            </w:r>
          </w:p>
        </w:tc>
      </w:tr>
      <w:tr w:rsidR="0003392D" w14:paraId="221DA163" w14:textId="77777777" w:rsidTr="000355A3">
        <w:tc>
          <w:tcPr>
            <w:tcW w:w="2700" w:type="dxa"/>
            <w:shd w:val="clear" w:color="auto" w:fill="FFFFFF"/>
          </w:tcPr>
          <w:p w14:paraId="6BECACB1" w14:textId="77777777" w:rsidR="0003392D" w:rsidRDefault="00000000">
            <w:pPr>
              <w:spacing w:before="60" w:after="60"/>
            </w:pPr>
            <w:r>
              <w:rPr>
                <w:b/>
                <w:bCs/>
                <w:color w:val="000000"/>
              </w:rPr>
              <w:t>Term Dates:</w:t>
            </w:r>
          </w:p>
        </w:tc>
        <w:tc>
          <w:tcPr>
            <w:tcW w:w="6660" w:type="dxa"/>
            <w:shd w:val="clear" w:color="auto" w:fill="FFFFFF"/>
          </w:tcPr>
          <w:p w14:paraId="71AA020D" w14:textId="6F0618F3" w:rsidR="0003392D" w:rsidRDefault="00000000">
            <w:pPr>
              <w:spacing w:before="60" w:after="60"/>
            </w:pPr>
            <w:r>
              <w:rPr>
                <w:color w:val="000000"/>
              </w:rPr>
              <w:t xml:space="preserve">Classes commence Thursday, September 10, 2026; last day of classes Friday, December 4, 2026. Fall Break: No classes October 9–13, 2026 (makeup class December 3, 2026). </w:t>
            </w:r>
            <w:r w:rsidR="00A22B2F">
              <w:rPr>
                <w:color w:val="000000"/>
              </w:rPr>
              <w:t xml:space="preserve">Final </w:t>
            </w:r>
            <w:r>
              <w:rPr>
                <w:color w:val="000000"/>
              </w:rPr>
              <w:t>Examination</w:t>
            </w:r>
            <w:r w:rsidR="00CC5A5F">
              <w:rPr>
                <w:color w:val="000000"/>
              </w:rPr>
              <w:t>:</w:t>
            </w:r>
            <w:r>
              <w:rPr>
                <w:color w:val="000000"/>
              </w:rPr>
              <w:t xml:space="preserve"> </w:t>
            </w:r>
            <w:r w:rsidR="00CC5A5F">
              <w:t xml:space="preserve">TBA </w:t>
            </w:r>
          </w:p>
        </w:tc>
      </w:tr>
      <w:tr w:rsidR="00656870" w14:paraId="189D5B76" w14:textId="77777777" w:rsidTr="000355A3">
        <w:tc>
          <w:tcPr>
            <w:tcW w:w="2700" w:type="dxa"/>
            <w:shd w:val="clear" w:color="auto" w:fill="FFFFFF"/>
          </w:tcPr>
          <w:p w14:paraId="0535481C" w14:textId="76EE061D" w:rsidR="00656870" w:rsidRDefault="00656870">
            <w:pPr>
              <w:spacing w:before="60" w:after="60"/>
              <w:rPr>
                <w:b/>
                <w:bCs/>
                <w:color w:val="000000"/>
              </w:rPr>
            </w:pPr>
            <w:r>
              <w:rPr>
                <w:b/>
                <w:bCs/>
                <w:color w:val="000000"/>
              </w:rPr>
              <w:t>Pre-requisites:</w:t>
            </w:r>
          </w:p>
        </w:tc>
        <w:tc>
          <w:tcPr>
            <w:tcW w:w="6660" w:type="dxa"/>
            <w:shd w:val="clear" w:color="auto" w:fill="FFFFFF"/>
          </w:tcPr>
          <w:p w14:paraId="681C16A3" w14:textId="3EFCDD53" w:rsidR="00656870" w:rsidRDefault="00656870">
            <w:pPr>
              <w:spacing w:before="60" w:after="60"/>
              <w:rPr>
                <w:color w:val="000000"/>
              </w:rPr>
            </w:pPr>
            <w:r>
              <w:rPr>
                <w:color w:val="000000"/>
              </w:rPr>
              <w:t>ECON*2310 (Intermediate Microeconomics) and one of: ECON*2740, PSYC*2010, STAT*2040, STAT*2060, STAT*2080, STAT*2090</w:t>
            </w:r>
          </w:p>
        </w:tc>
      </w:tr>
      <w:tr w:rsidR="00656870" w14:paraId="5A7A2118" w14:textId="77777777" w:rsidTr="000355A3">
        <w:tc>
          <w:tcPr>
            <w:tcW w:w="2700" w:type="dxa"/>
            <w:shd w:val="clear" w:color="auto" w:fill="FFFFFF"/>
          </w:tcPr>
          <w:p w14:paraId="1E32CEE4" w14:textId="43917F10" w:rsidR="00656870" w:rsidRDefault="00656870">
            <w:pPr>
              <w:spacing w:before="60" w:after="60"/>
              <w:rPr>
                <w:b/>
                <w:bCs/>
                <w:color w:val="000000"/>
              </w:rPr>
            </w:pPr>
            <w:r>
              <w:rPr>
                <w:b/>
                <w:bCs/>
                <w:color w:val="000000"/>
              </w:rPr>
              <w:t xml:space="preserve">Level: </w:t>
            </w:r>
          </w:p>
        </w:tc>
        <w:tc>
          <w:tcPr>
            <w:tcW w:w="6660" w:type="dxa"/>
            <w:shd w:val="clear" w:color="auto" w:fill="FFFFFF"/>
          </w:tcPr>
          <w:p w14:paraId="1E37B727" w14:textId="6CE060CA" w:rsidR="00656870" w:rsidRDefault="00656870">
            <w:pPr>
              <w:spacing w:before="60" w:after="60"/>
            </w:pPr>
            <w:r>
              <w:rPr>
                <w:color w:val="000000"/>
              </w:rPr>
              <w:t>Year 3 Undergraduate</w:t>
            </w:r>
          </w:p>
        </w:tc>
      </w:tr>
    </w:tbl>
    <w:p w14:paraId="2CA47093" w14:textId="77777777" w:rsidR="0003392D" w:rsidRDefault="0003392D">
      <w:pPr>
        <w:spacing w:after="120"/>
      </w:pPr>
    </w:p>
    <w:p w14:paraId="3B7F86C1" w14:textId="77777777" w:rsidR="0003392D" w:rsidRDefault="00000000" w:rsidP="000355A3">
      <w:pPr>
        <w:pStyle w:val="Heading1"/>
        <w:shd w:val="clear" w:color="auto" w:fill="D9D9D9" w:themeFill="background1" w:themeFillShade="D9"/>
      </w:pPr>
      <w:r w:rsidRPr="000355A3">
        <w:rPr>
          <w:highlight w:val="lightGray"/>
        </w:rPr>
        <w:t>Course Description</w:t>
      </w:r>
    </w:p>
    <w:p w14:paraId="26615B4E" w14:textId="77777777" w:rsidR="0003392D" w:rsidRDefault="00000000">
      <w:pPr>
        <w:spacing w:after="120"/>
      </w:pPr>
      <w:r>
        <w:rPr>
          <w:color w:val="000000"/>
        </w:rPr>
        <w:t>This course applies microeconomic tools to understand health, health behaviours, and healthcare markets. Students study how individuals demand health (not just healthcare), how insurance reshapes incentives on the demand and supply sides, how physicians and hospitals respond to payment and competition, how pharmaceutical markets work, and how economic evaluation informs coverage decisions. Canadian health policy — including Medicare, pharmacare, and hospital funding — provides the primary applied context throughout the course.</w:t>
      </w:r>
    </w:p>
    <w:p w14:paraId="7FF873DB" w14:textId="77777777" w:rsidR="0003392D" w:rsidRDefault="00000000" w:rsidP="000355A3">
      <w:pPr>
        <w:pStyle w:val="Heading1"/>
        <w:shd w:val="clear" w:color="auto" w:fill="D9D9D9" w:themeFill="background1" w:themeFillShade="D9"/>
      </w:pPr>
      <w:r w:rsidRPr="000355A3">
        <w:rPr>
          <w:highlight w:val="lightGray"/>
        </w:rPr>
        <w:t>Course Learning Outcomes</w:t>
      </w:r>
    </w:p>
    <w:p w14:paraId="7981A56C" w14:textId="77777777" w:rsidR="0003392D" w:rsidRDefault="00000000">
      <w:pPr>
        <w:spacing w:after="120"/>
      </w:pPr>
      <w:r>
        <w:rPr>
          <w:color w:val="000000"/>
        </w:rPr>
        <w:t>Upon successfully completing this course, you will:</w:t>
      </w:r>
    </w:p>
    <w:p w14:paraId="7DB40CA7" w14:textId="77777777" w:rsidR="0003392D" w:rsidRDefault="00000000">
      <w:pPr>
        <w:pStyle w:val="Heading2"/>
      </w:pPr>
      <w:r>
        <w:t>Knowledge and Understanding</w:t>
      </w:r>
    </w:p>
    <w:p w14:paraId="7F565C93" w14:textId="77777777" w:rsidR="0003392D" w:rsidRDefault="00000000">
      <w:pPr>
        <w:pStyle w:val="ListParagraph"/>
        <w:numPr>
          <w:ilvl w:val="0"/>
          <w:numId w:val="1"/>
        </w:numPr>
        <w:spacing w:after="60"/>
      </w:pPr>
      <w:r>
        <w:rPr>
          <w:color w:val="000000"/>
        </w:rPr>
        <w:t>Explain and apply core economic models of health demand, health behaviours, and healthcare markets, including the Grossman model, rational addiction, and behavioural economics. (LO 1)</w:t>
      </w:r>
    </w:p>
    <w:p w14:paraId="2F2A61A0" w14:textId="77777777" w:rsidR="0003392D" w:rsidRDefault="00000000">
      <w:pPr>
        <w:pStyle w:val="ListParagraph"/>
        <w:numPr>
          <w:ilvl w:val="0"/>
          <w:numId w:val="1"/>
        </w:numPr>
        <w:spacing w:after="60"/>
      </w:pPr>
      <w:r>
        <w:rPr>
          <w:color w:val="000000"/>
        </w:rPr>
        <w:t>Apply information economics to health insurance, including risk and expected utility, moral hazard, adverse selection, and the design of public and private insurance. (LO 3)</w:t>
      </w:r>
    </w:p>
    <w:p w14:paraId="07EFF219" w14:textId="77777777" w:rsidR="0003392D" w:rsidRDefault="00000000">
      <w:pPr>
        <w:pStyle w:val="ListParagraph"/>
        <w:numPr>
          <w:ilvl w:val="0"/>
          <w:numId w:val="1"/>
        </w:numPr>
        <w:spacing w:after="60"/>
      </w:pPr>
      <w:r>
        <w:rPr>
          <w:color w:val="000000"/>
        </w:rPr>
        <w:lastRenderedPageBreak/>
        <w:t>Analyse the economics of pharmaceutical innovation, pricing, competition, and public drug coverage in the Canadian context. (LO 5)</w:t>
      </w:r>
    </w:p>
    <w:p w14:paraId="1B275AB0" w14:textId="77777777" w:rsidR="0003392D" w:rsidRDefault="00000000">
      <w:pPr>
        <w:pStyle w:val="ListParagraph"/>
        <w:numPr>
          <w:ilvl w:val="0"/>
          <w:numId w:val="1"/>
        </w:numPr>
        <w:spacing w:after="60"/>
      </w:pPr>
      <w:r>
        <w:rPr>
          <w:color w:val="000000"/>
        </w:rPr>
        <w:t>Explain how economic evidence contributes to health technology assessment, priority setting, price negotiation, and healthcare coverage decisions. (LO 7)</w:t>
      </w:r>
    </w:p>
    <w:p w14:paraId="4FCECEDB" w14:textId="77777777" w:rsidR="0003392D" w:rsidRDefault="00000000">
      <w:pPr>
        <w:pStyle w:val="Heading2"/>
      </w:pPr>
      <w:r>
        <w:t>Discipline/Professional and Transferable Skills</w:t>
      </w:r>
    </w:p>
    <w:p w14:paraId="4BE274E2" w14:textId="77777777" w:rsidR="0003392D" w:rsidRDefault="00000000">
      <w:pPr>
        <w:pStyle w:val="ListParagraph"/>
        <w:numPr>
          <w:ilvl w:val="0"/>
          <w:numId w:val="1"/>
        </w:numPr>
        <w:spacing w:after="60"/>
      </w:pPr>
      <w:r>
        <w:rPr>
          <w:color w:val="000000"/>
        </w:rPr>
        <w:t>Analyse how socioeconomic conditions, incentives, behavioural biases, and externalities influence health and health behaviours, and evaluate corresponding policy tools. (LO 2)</w:t>
      </w:r>
    </w:p>
    <w:p w14:paraId="49AAED53" w14:textId="77777777" w:rsidR="0003392D" w:rsidRDefault="00000000">
      <w:pPr>
        <w:pStyle w:val="ListParagraph"/>
        <w:numPr>
          <w:ilvl w:val="0"/>
          <w:numId w:val="1"/>
        </w:numPr>
        <w:spacing w:after="60"/>
      </w:pPr>
      <w:r>
        <w:rPr>
          <w:color w:val="000000"/>
        </w:rPr>
        <w:t>Evaluate how physician and hospital payment systems affect incentives, utilization, quality, access, and cost. (LO 4)</w:t>
      </w:r>
    </w:p>
    <w:p w14:paraId="3D5F6038" w14:textId="77777777" w:rsidR="0003392D" w:rsidRDefault="00000000">
      <w:pPr>
        <w:pStyle w:val="ListParagraph"/>
        <w:numPr>
          <w:ilvl w:val="0"/>
          <w:numId w:val="1"/>
        </w:numPr>
        <w:spacing w:after="60"/>
      </w:pPr>
      <w:r>
        <w:rPr>
          <w:color w:val="000000"/>
        </w:rPr>
        <w:t>Conduct and critically interpret economic evaluation, including costs, QALYs, incremental analysis, ICERs, decision rules, and uncertainty. (LO 6)</w:t>
      </w:r>
    </w:p>
    <w:p w14:paraId="0EFB20BC" w14:textId="77777777" w:rsidR="0003392D" w:rsidRDefault="00000000">
      <w:pPr>
        <w:pStyle w:val="Heading2"/>
      </w:pPr>
      <w:r>
        <w:t>Attitudes and Values</w:t>
      </w:r>
    </w:p>
    <w:p w14:paraId="53237E59" w14:textId="77777777" w:rsidR="0003392D" w:rsidRDefault="00000000">
      <w:pPr>
        <w:pStyle w:val="ListParagraph"/>
        <w:numPr>
          <w:ilvl w:val="0"/>
          <w:numId w:val="1"/>
        </w:numPr>
        <w:spacing w:after="60"/>
      </w:pPr>
      <w:r>
        <w:rPr>
          <w:color w:val="000000"/>
        </w:rPr>
        <w:t>Use economic reasoning and empirical evidence to critically assess health-policy problems, develop evidence-based policy recommendations, and appreciate the trade-offs among access, cost, quality, and equity in health system design. (LO 8)</w:t>
      </w:r>
    </w:p>
    <w:p w14:paraId="13B30310" w14:textId="77777777" w:rsidR="0003392D" w:rsidRDefault="0003392D">
      <w:pPr>
        <w:spacing w:after="120"/>
      </w:pPr>
    </w:p>
    <w:p w14:paraId="55893169" w14:textId="77777777" w:rsidR="0003392D" w:rsidRDefault="00000000" w:rsidP="000355A3">
      <w:pPr>
        <w:pStyle w:val="Heading1"/>
        <w:shd w:val="clear" w:color="auto" w:fill="D9D9D9" w:themeFill="background1" w:themeFillShade="D9"/>
      </w:pPr>
      <w:r w:rsidRPr="000355A3">
        <w:rPr>
          <w:highlight w:val="lightGray"/>
        </w:rPr>
        <w:t>Summary of Course Content and Materials</w:t>
      </w:r>
    </w:p>
    <w:p w14:paraId="0B39769E" w14:textId="77777777" w:rsidR="0003392D" w:rsidRDefault="00000000">
      <w:pPr>
        <w:spacing w:after="120"/>
      </w:pPr>
      <w:r>
        <w:rPr>
          <w:color w:val="000000"/>
        </w:rPr>
        <w:t>The course is structured into six thematic modules, progressing from foundational economic models of individual health decisions through to applied health technology assessment and policy synthesis.</w:t>
      </w:r>
    </w:p>
    <w:tbl>
      <w:tblPr>
        <w:tblW w:w="9360" w:type="dxa"/>
        <w:tblBorders>
          <w:top w:val="single" w:sz="4" w:space="0" w:color="AAAAAA"/>
          <w:left w:val="single" w:sz="4" w:space="0" w:color="AAAAAA"/>
          <w:bottom w:val="single" w:sz="4" w:space="0" w:color="AAAAAA"/>
          <w:right w:val="single" w:sz="4" w:space="0" w:color="AAAAAA"/>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1440"/>
        <w:gridCol w:w="3240"/>
        <w:gridCol w:w="4680"/>
      </w:tblGrid>
      <w:tr w:rsidR="0003392D" w14:paraId="271DED1C" w14:textId="77777777" w:rsidTr="002F52EE">
        <w:trPr>
          <w:tblHeader/>
        </w:trPr>
        <w:tc>
          <w:tcPr>
            <w:tcW w:w="1440" w:type="dxa"/>
            <w:tcBorders>
              <w:top w:val="single" w:sz="4" w:space="0" w:color="AAAAAA"/>
              <w:bottom w:val="single" w:sz="4" w:space="0" w:color="CCCCCC"/>
            </w:tcBorders>
            <w:shd w:val="clear" w:color="auto" w:fill="C1E4F5" w:themeFill="accent1" w:themeFillTint="33"/>
            <w:vAlign w:val="center"/>
          </w:tcPr>
          <w:p w14:paraId="36884D56" w14:textId="77777777" w:rsidR="0003392D" w:rsidRPr="002F52EE" w:rsidRDefault="00000000">
            <w:pPr>
              <w:spacing w:before="60" w:after="60"/>
              <w:jc w:val="center"/>
              <w:rPr>
                <w:color w:val="0E2841" w:themeColor="text2"/>
              </w:rPr>
            </w:pPr>
            <w:r w:rsidRPr="002F52EE">
              <w:rPr>
                <w:b/>
                <w:bCs/>
                <w:color w:val="0E2841" w:themeColor="text2"/>
                <w:sz w:val="20"/>
                <w:szCs w:val="20"/>
              </w:rPr>
              <w:t>Module</w:t>
            </w:r>
          </w:p>
        </w:tc>
        <w:tc>
          <w:tcPr>
            <w:tcW w:w="3240" w:type="dxa"/>
            <w:tcBorders>
              <w:top w:val="single" w:sz="4" w:space="0" w:color="AAAAAA"/>
              <w:bottom w:val="single" w:sz="4" w:space="0" w:color="CCCCCC"/>
            </w:tcBorders>
            <w:shd w:val="clear" w:color="auto" w:fill="C1E4F5" w:themeFill="accent1" w:themeFillTint="33"/>
            <w:vAlign w:val="center"/>
          </w:tcPr>
          <w:p w14:paraId="260BB017" w14:textId="77777777" w:rsidR="0003392D" w:rsidRPr="002F52EE" w:rsidRDefault="00000000">
            <w:pPr>
              <w:spacing w:before="60" w:after="60"/>
              <w:jc w:val="center"/>
              <w:rPr>
                <w:color w:val="0E2841" w:themeColor="text2"/>
              </w:rPr>
            </w:pPr>
            <w:r w:rsidRPr="002F52EE">
              <w:rPr>
                <w:b/>
                <w:bCs/>
                <w:color w:val="0E2841" w:themeColor="text2"/>
                <w:sz w:val="20"/>
                <w:szCs w:val="20"/>
              </w:rPr>
              <w:t>Topic</w:t>
            </w:r>
          </w:p>
        </w:tc>
        <w:tc>
          <w:tcPr>
            <w:tcW w:w="4680" w:type="dxa"/>
            <w:tcBorders>
              <w:top w:val="single" w:sz="4" w:space="0" w:color="AAAAAA"/>
              <w:bottom w:val="single" w:sz="4" w:space="0" w:color="CCCCCC"/>
            </w:tcBorders>
            <w:shd w:val="clear" w:color="auto" w:fill="C1E4F5" w:themeFill="accent1" w:themeFillTint="33"/>
            <w:vAlign w:val="center"/>
          </w:tcPr>
          <w:p w14:paraId="296F1FA6" w14:textId="77777777" w:rsidR="0003392D" w:rsidRPr="002F52EE" w:rsidRDefault="00000000">
            <w:pPr>
              <w:spacing w:before="60" w:after="60"/>
              <w:jc w:val="center"/>
              <w:rPr>
                <w:color w:val="0E2841" w:themeColor="text2"/>
              </w:rPr>
            </w:pPr>
            <w:r w:rsidRPr="002F52EE">
              <w:rPr>
                <w:b/>
                <w:bCs/>
                <w:color w:val="0E2841" w:themeColor="text2"/>
                <w:sz w:val="20"/>
                <w:szCs w:val="20"/>
              </w:rPr>
              <w:t>Key Content</w:t>
            </w:r>
          </w:p>
        </w:tc>
      </w:tr>
      <w:tr w:rsidR="0003392D" w14:paraId="4555D3F1" w14:textId="77777777" w:rsidTr="002F52EE">
        <w:tc>
          <w:tcPr>
            <w:tcW w:w="1440" w:type="dxa"/>
            <w:tcBorders>
              <w:top w:val="single" w:sz="4" w:space="0" w:color="CCCCCC"/>
            </w:tcBorders>
            <w:shd w:val="clear" w:color="auto" w:fill="FFFFFF"/>
          </w:tcPr>
          <w:p w14:paraId="421E21CA" w14:textId="77777777" w:rsidR="0003392D" w:rsidRDefault="00000000" w:rsidP="00A02DE5">
            <w:pPr>
              <w:spacing w:before="60" w:after="60"/>
              <w:jc w:val="center"/>
            </w:pPr>
            <w:r>
              <w:rPr>
                <w:color w:val="000000"/>
              </w:rPr>
              <w:t>Module 1</w:t>
            </w:r>
          </w:p>
        </w:tc>
        <w:tc>
          <w:tcPr>
            <w:tcW w:w="3240" w:type="dxa"/>
            <w:tcBorders>
              <w:top w:val="single" w:sz="4" w:space="0" w:color="CCCCCC"/>
            </w:tcBorders>
            <w:shd w:val="clear" w:color="auto" w:fill="FFFFFF"/>
          </w:tcPr>
          <w:p w14:paraId="19031B53" w14:textId="77777777" w:rsidR="0003392D" w:rsidRDefault="00000000" w:rsidP="00A02DE5">
            <w:pPr>
              <w:spacing w:before="60" w:after="60"/>
            </w:pPr>
            <w:r>
              <w:rPr>
                <w:color w:val="000000"/>
              </w:rPr>
              <w:t>Demand for Health, Health Behaviours, and Health Disparities (Weeks 1–4)</w:t>
            </w:r>
          </w:p>
        </w:tc>
        <w:tc>
          <w:tcPr>
            <w:tcW w:w="4680" w:type="dxa"/>
            <w:tcBorders>
              <w:top w:val="single" w:sz="4" w:space="0" w:color="CCCCCC"/>
            </w:tcBorders>
            <w:shd w:val="clear" w:color="auto" w:fill="FFFFFF"/>
          </w:tcPr>
          <w:p w14:paraId="273C09EF" w14:textId="77777777" w:rsidR="0003392D" w:rsidRDefault="00000000">
            <w:pPr>
              <w:spacing w:before="60" w:after="60"/>
            </w:pPr>
            <w:r>
              <w:rPr>
                <w:color w:val="000000"/>
              </w:rPr>
              <w:t>The Grossman model of health as capital; demand for healthcare; the socioeconomic gradient in health; rational addiction and behavioural economics; policy tools for health behaviours.</w:t>
            </w:r>
          </w:p>
        </w:tc>
      </w:tr>
      <w:tr w:rsidR="0003392D" w14:paraId="74B317F5" w14:textId="77777777">
        <w:tc>
          <w:tcPr>
            <w:tcW w:w="1440" w:type="dxa"/>
            <w:shd w:val="clear" w:color="auto" w:fill="F2F2F2"/>
          </w:tcPr>
          <w:p w14:paraId="08B08E49" w14:textId="77777777" w:rsidR="0003392D" w:rsidRDefault="00000000" w:rsidP="00A02DE5">
            <w:pPr>
              <w:spacing w:before="60" w:after="60"/>
              <w:jc w:val="center"/>
            </w:pPr>
            <w:r>
              <w:rPr>
                <w:color w:val="000000"/>
              </w:rPr>
              <w:t>Module 2</w:t>
            </w:r>
          </w:p>
        </w:tc>
        <w:tc>
          <w:tcPr>
            <w:tcW w:w="3240" w:type="dxa"/>
            <w:shd w:val="clear" w:color="auto" w:fill="F2F2F2"/>
          </w:tcPr>
          <w:p w14:paraId="784F2FCD" w14:textId="77777777" w:rsidR="0003392D" w:rsidRDefault="00000000" w:rsidP="00A02DE5">
            <w:pPr>
              <w:spacing w:before="60" w:after="60"/>
            </w:pPr>
            <w:r>
              <w:rPr>
                <w:color w:val="000000"/>
              </w:rPr>
              <w:t>Information Economics and Health Insurance (Weeks 5–7)</w:t>
            </w:r>
          </w:p>
        </w:tc>
        <w:tc>
          <w:tcPr>
            <w:tcW w:w="4680" w:type="dxa"/>
            <w:shd w:val="clear" w:color="auto" w:fill="F2F2F2"/>
          </w:tcPr>
          <w:p w14:paraId="10E9CEE6" w14:textId="77777777" w:rsidR="0003392D" w:rsidRDefault="00000000">
            <w:pPr>
              <w:spacing w:before="60" w:after="60"/>
            </w:pPr>
            <w:r>
              <w:rPr>
                <w:color w:val="000000"/>
              </w:rPr>
              <w:t>Risk, expected utility, and the demand for insurance; adverse selection and insurance market design; moral hazard, cost sharing, and the RAND Health Insurance Experiment.</w:t>
            </w:r>
          </w:p>
        </w:tc>
      </w:tr>
      <w:tr w:rsidR="0003392D" w14:paraId="3D23CD24" w14:textId="77777777">
        <w:tc>
          <w:tcPr>
            <w:tcW w:w="1440" w:type="dxa"/>
            <w:shd w:val="clear" w:color="auto" w:fill="FFFFFF"/>
          </w:tcPr>
          <w:p w14:paraId="15AAFA02" w14:textId="77777777" w:rsidR="0003392D" w:rsidRDefault="00000000" w:rsidP="00A02DE5">
            <w:pPr>
              <w:spacing w:before="60" w:after="60"/>
              <w:jc w:val="center"/>
            </w:pPr>
            <w:r>
              <w:rPr>
                <w:color w:val="000000"/>
              </w:rPr>
              <w:t>Module 3</w:t>
            </w:r>
          </w:p>
        </w:tc>
        <w:tc>
          <w:tcPr>
            <w:tcW w:w="3240" w:type="dxa"/>
            <w:shd w:val="clear" w:color="auto" w:fill="FFFFFF"/>
          </w:tcPr>
          <w:p w14:paraId="5B45D6B2" w14:textId="77777777" w:rsidR="0003392D" w:rsidRDefault="00000000" w:rsidP="00A02DE5">
            <w:pPr>
              <w:spacing w:before="60" w:after="60"/>
            </w:pPr>
            <w:r>
              <w:rPr>
                <w:color w:val="000000"/>
              </w:rPr>
              <w:t>Healthcare Provider Economics (Weeks 7–9)</w:t>
            </w:r>
          </w:p>
        </w:tc>
        <w:tc>
          <w:tcPr>
            <w:tcW w:w="4680" w:type="dxa"/>
            <w:shd w:val="clear" w:color="auto" w:fill="FFFFFF"/>
          </w:tcPr>
          <w:p w14:paraId="214A5ECE" w14:textId="77777777" w:rsidR="0003392D" w:rsidRDefault="00000000">
            <w:pPr>
              <w:spacing w:before="60" w:after="60"/>
            </w:pPr>
            <w:r>
              <w:rPr>
                <w:color w:val="000000"/>
              </w:rPr>
              <w:t>Physician agency, supplier-induced demand, and physician labour markets; payment systems (fee-for-service, capitation, salary); hospital behaviour, competition, and funding in Canada.</w:t>
            </w:r>
          </w:p>
        </w:tc>
      </w:tr>
      <w:tr w:rsidR="0003392D" w14:paraId="4E4FD897" w14:textId="77777777">
        <w:tc>
          <w:tcPr>
            <w:tcW w:w="1440" w:type="dxa"/>
            <w:shd w:val="clear" w:color="auto" w:fill="F2F2F2"/>
          </w:tcPr>
          <w:p w14:paraId="2181C2C9" w14:textId="77777777" w:rsidR="0003392D" w:rsidRDefault="00000000" w:rsidP="00A02DE5">
            <w:pPr>
              <w:spacing w:before="60" w:after="60"/>
              <w:jc w:val="center"/>
            </w:pPr>
            <w:r>
              <w:rPr>
                <w:color w:val="000000"/>
              </w:rPr>
              <w:t>Module 4</w:t>
            </w:r>
          </w:p>
        </w:tc>
        <w:tc>
          <w:tcPr>
            <w:tcW w:w="3240" w:type="dxa"/>
            <w:shd w:val="clear" w:color="auto" w:fill="F2F2F2"/>
          </w:tcPr>
          <w:p w14:paraId="0A1A514B" w14:textId="77777777" w:rsidR="0003392D" w:rsidRDefault="00000000" w:rsidP="00A02DE5">
            <w:pPr>
              <w:spacing w:before="60" w:after="60"/>
            </w:pPr>
            <w:r>
              <w:rPr>
                <w:color w:val="000000"/>
              </w:rPr>
              <w:t>Pharmaceutical Economics and Healthcare Costs (Weeks 10–11)</w:t>
            </w:r>
          </w:p>
        </w:tc>
        <w:tc>
          <w:tcPr>
            <w:tcW w:w="4680" w:type="dxa"/>
            <w:shd w:val="clear" w:color="auto" w:fill="F2F2F2"/>
          </w:tcPr>
          <w:p w14:paraId="2EAD6D88" w14:textId="77777777" w:rsidR="0003392D" w:rsidRDefault="00000000">
            <w:pPr>
              <w:spacing w:before="60" w:after="60"/>
            </w:pPr>
            <w:r>
              <w:rPr>
                <w:color w:val="000000"/>
              </w:rPr>
              <w:t>Drug innovation, patents, pricing, and generic entry; Canadian drug policy and pharmacare design; drivers of healthcare spending growth.</w:t>
            </w:r>
          </w:p>
        </w:tc>
      </w:tr>
      <w:tr w:rsidR="0003392D" w14:paraId="3DB6BA89" w14:textId="77777777">
        <w:tc>
          <w:tcPr>
            <w:tcW w:w="1440" w:type="dxa"/>
            <w:shd w:val="clear" w:color="auto" w:fill="FFFFFF"/>
          </w:tcPr>
          <w:p w14:paraId="6834FF0E" w14:textId="77777777" w:rsidR="0003392D" w:rsidRDefault="00000000" w:rsidP="00A02DE5">
            <w:pPr>
              <w:spacing w:before="60" w:after="60"/>
              <w:jc w:val="center"/>
            </w:pPr>
            <w:r>
              <w:rPr>
                <w:color w:val="000000"/>
              </w:rPr>
              <w:t>Module 5</w:t>
            </w:r>
          </w:p>
        </w:tc>
        <w:tc>
          <w:tcPr>
            <w:tcW w:w="3240" w:type="dxa"/>
            <w:shd w:val="clear" w:color="auto" w:fill="FFFFFF"/>
          </w:tcPr>
          <w:p w14:paraId="5429B2FF" w14:textId="77777777" w:rsidR="0003392D" w:rsidRDefault="00000000" w:rsidP="00A02DE5">
            <w:pPr>
              <w:spacing w:before="60" w:after="60"/>
            </w:pPr>
            <w:r>
              <w:rPr>
                <w:color w:val="000000"/>
              </w:rPr>
              <w:t>Cost-Effectiveness Analysis and Health Technology Assessment (Weeks 11–13)</w:t>
            </w:r>
          </w:p>
        </w:tc>
        <w:tc>
          <w:tcPr>
            <w:tcW w:w="4680" w:type="dxa"/>
            <w:shd w:val="clear" w:color="auto" w:fill="FFFFFF"/>
          </w:tcPr>
          <w:p w14:paraId="5EC4C497" w14:textId="77777777" w:rsidR="0003392D" w:rsidRDefault="00000000">
            <w:pPr>
              <w:spacing w:before="60" w:after="60"/>
            </w:pPr>
            <w:r>
              <w:rPr>
                <w:color w:val="000000"/>
              </w:rPr>
              <w:t>Foundations of economic evaluation; QALYs and ICERs; decision trees and Markov models; uncertainty; HTA processes and the role of CADTH in Canada.</w:t>
            </w:r>
          </w:p>
        </w:tc>
      </w:tr>
      <w:tr w:rsidR="0003392D" w14:paraId="79477851" w14:textId="77777777">
        <w:tc>
          <w:tcPr>
            <w:tcW w:w="1440" w:type="dxa"/>
            <w:shd w:val="clear" w:color="auto" w:fill="F2F2F2"/>
          </w:tcPr>
          <w:p w14:paraId="261EDFE8" w14:textId="77777777" w:rsidR="0003392D" w:rsidRDefault="00000000" w:rsidP="00A02DE5">
            <w:pPr>
              <w:spacing w:before="60" w:after="60"/>
              <w:jc w:val="center"/>
            </w:pPr>
            <w:r>
              <w:rPr>
                <w:color w:val="000000"/>
              </w:rPr>
              <w:lastRenderedPageBreak/>
              <w:t>Module 6</w:t>
            </w:r>
          </w:p>
        </w:tc>
        <w:tc>
          <w:tcPr>
            <w:tcW w:w="3240" w:type="dxa"/>
            <w:shd w:val="clear" w:color="auto" w:fill="F2F2F2"/>
          </w:tcPr>
          <w:p w14:paraId="09807B5C" w14:textId="77777777" w:rsidR="0003392D" w:rsidRDefault="00000000" w:rsidP="00A02DE5">
            <w:pPr>
              <w:spacing w:before="60" w:after="60"/>
            </w:pPr>
            <w:r>
              <w:rPr>
                <w:color w:val="000000"/>
              </w:rPr>
              <w:t>Health Policy Synthesis (Week 14)</w:t>
            </w:r>
          </w:p>
        </w:tc>
        <w:tc>
          <w:tcPr>
            <w:tcW w:w="4680" w:type="dxa"/>
            <w:shd w:val="clear" w:color="auto" w:fill="F2F2F2"/>
          </w:tcPr>
          <w:p w14:paraId="2109351E" w14:textId="77777777" w:rsidR="0003392D" w:rsidRDefault="00000000">
            <w:pPr>
              <w:spacing w:before="60" w:after="60"/>
            </w:pPr>
            <w:r>
              <w:rPr>
                <w:color w:val="000000"/>
              </w:rPr>
              <w:t>Capstone integration of models, evidence, and policy across all modules; preparation for the final examination.</w:t>
            </w:r>
          </w:p>
        </w:tc>
      </w:tr>
    </w:tbl>
    <w:p w14:paraId="45DFB303" w14:textId="77777777" w:rsidR="0003392D" w:rsidRDefault="0003392D">
      <w:pPr>
        <w:spacing w:after="120"/>
      </w:pPr>
    </w:p>
    <w:p w14:paraId="31E35009" w14:textId="77777777" w:rsidR="0003392D" w:rsidRDefault="00000000" w:rsidP="000355A3">
      <w:pPr>
        <w:pStyle w:val="Heading1"/>
        <w:shd w:val="clear" w:color="auto" w:fill="D9D9D9" w:themeFill="background1" w:themeFillShade="D9"/>
      </w:pPr>
      <w:r>
        <w:t>Course Assessment</w:t>
      </w:r>
    </w:p>
    <w:p w14:paraId="788229DB" w14:textId="77777777" w:rsidR="0003392D" w:rsidRDefault="00000000">
      <w:pPr>
        <w:spacing w:after="120"/>
      </w:pPr>
      <w:r>
        <w:rPr>
          <w:b/>
          <w:bCs/>
          <w:color w:val="000000"/>
        </w:rPr>
        <w:t xml:space="preserve">Assessment design note: </w:t>
      </w:r>
      <w:r>
        <w:rPr>
          <w:color w:val="000000"/>
        </w:rPr>
        <w:t>Both examinations are in-person and closed-book. The recorded group presentation for the Health Policy Brief requires students to explain and defend their analysis, ensuring that submitted written work is genuinely understood by the group.</w:t>
      </w:r>
    </w:p>
    <w:tbl>
      <w:tblPr>
        <w:tblW w:w="9360" w:type="dxa"/>
        <w:tblBorders>
          <w:top w:val="single" w:sz="4" w:space="0" w:color="AAAAAA"/>
          <w:left w:val="single" w:sz="4" w:space="0" w:color="AAAAAA"/>
          <w:bottom w:val="single" w:sz="4" w:space="0" w:color="AAAAAA"/>
          <w:right w:val="single" w:sz="4" w:space="0" w:color="AAAAAA"/>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2518"/>
        <w:gridCol w:w="944"/>
        <w:gridCol w:w="2204"/>
        <w:gridCol w:w="1889"/>
        <w:gridCol w:w="1805"/>
      </w:tblGrid>
      <w:tr w:rsidR="0003392D" w:rsidRPr="002F52EE" w14:paraId="74EE394B" w14:textId="77777777" w:rsidTr="009F7314">
        <w:trPr>
          <w:tblHeader/>
        </w:trPr>
        <w:tc>
          <w:tcPr>
            <w:tcW w:w="2518" w:type="dxa"/>
            <w:tcBorders>
              <w:top w:val="single" w:sz="4" w:space="0" w:color="AAAAAA"/>
              <w:bottom w:val="single" w:sz="4" w:space="0" w:color="CCCCCC"/>
            </w:tcBorders>
            <w:shd w:val="clear" w:color="auto" w:fill="C1E4F5" w:themeFill="accent1" w:themeFillTint="33"/>
            <w:vAlign w:val="center"/>
          </w:tcPr>
          <w:p w14:paraId="348CA66D" w14:textId="77777777" w:rsidR="0003392D" w:rsidRPr="002F52EE" w:rsidRDefault="00000000">
            <w:pPr>
              <w:spacing w:before="60" w:after="60"/>
              <w:jc w:val="center"/>
              <w:rPr>
                <w:color w:val="0E2841" w:themeColor="text2"/>
              </w:rPr>
            </w:pPr>
            <w:r w:rsidRPr="002F52EE">
              <w:rPr>
                <w:b/>
                <w:bCs/>
                <w:color w:val="0E2841" w:themeColor="text2"/>
                <w:sz w:val="20"/>
                <w:szCs w:val="20"/>
              </w:rPr>
              <w:t>Assessment</w:t>
            </w:r>
          </w:p>
        </w:tc>
        <w:tc>
          <w:tcPr>
            <w:tcW w:w="944" w:type="dxa"/>
            <w:tcBorders>
              <w:top w:val="single" w:sz="4" w:space="0" w:color="AAAAAA"/>
              <w:bottom w:val="single" w:sz="4" w:space="0" w:color="CCCCCC"/>
            </w:tcBorders>
            <w:shd w:val="clear" w:color="auto" w:fill="C1E4F5" w:themeFill="accent1" w:themeFillTint="33"/>
            <w:vAlign w:val="center"/>
          </w:tcPr>
          <w:p w14:paraId="12D984C8" w14:textId="77777777" w:rsidR="0003392D" w:rsidRPr="002F52EE" w:rsidRDefault="00000000">
            <w:pPr>
              <w:spacing w:before="60" w:after="60"/>
              <w:jc w:val="center"/>
              <w:rPr>
                <w:color w:val="0E2841" w:themeColor="text2"/>
              </w:rPr>
            </w:pPr>
            <w:r w:rsidRPr="002F52EE">
              <w:rPr>
                <w:b/>
                <w:bCs/>
                <w:color w:val="0E2841" w:themeColor="text2"/>
                <w:sz w:val="20"/>
                <w:szCs w:val="20"/>
              </w:rPr>
              <w:t>Weight</w:t>
            </w:r>
          </w:p>
        </w:tc>
        <w:tc>
          <w:tcPr>
            <w:tcW w:w="2204" w:type="dxa"/>
            <w:tcBorders>
              <w:top w:val="single" w:sz="4" w:space="0" w:color="AAAAAA"/>
              <w:bottom w:val="single" w:sz="4" w:space="0" w:color="CCCCCC"/>
            </w:tcBorders>
            <w:shd w:val="clear" w:color="auto" w:fill="C1E4F5" w:themeFill="accent1" w:themeFillTint="33"/>
            <w:vAlign w:val="center"/>
          </w:tcPr>
          <w:p w14:paraId="3DC7B6B0" w14:textId="77777777" w:rsidR="0003392D" w:rsidRPr="002F52EE" w:rsidRDefault="00000000">
            <w:pPr>
              <w:spacing w:before="60" w:after="60"/>
              <w:jc w:val="center"/>
              <w:rPr>
                <w:color w:val="0E2841" w:themeColor="text2"/>
              </w:rPr>
            </w:pPr>
            <w:r w:rsidRPr="002F52EE">
              <w:rPr>
                <w:b/>
                <w:bCs/>
                <w:color w:val="0E2841" w:themeColor="text2"/>
                <w:sz w:val="20"/>
                <w:szCs w:val="20"/>
              </w:rPr>
              <w:t>Description</w:t>
            </w:r>
          </w:p>
        </w:tc>
        <w:tc>
          <w:tcPr>
            <w:tcW w:w="1889" w:type="dxa"/>
            <w:tcBorders>
              <w:top w:val="single" w:sz="4" w:space="0" w:color="AAAAAA"/>
              <w:bottom w:val="single" w:sz="4" w:space="0" w:color="CCCCCC"/>
            </w:tcBorders>
            <w:shd w:val="clear" w:color="auto" w:fill="C1E4F5" w:themeFill="accent1" w:themeFillTint="33"/>
            <w:vAlign w:val="center"/>
          </w:tcPr>
          <w:p w14:paraId="31B84319" w14:textId="77777777" w:rsidR="0003392D" w:rsidRPr="002F52EE" w:rsidRDefault="00000000">
            <w:pPr>
              <w:spacing w:before="60" w:after="60"/>
              <w:jc w:val="center"/>
              <w:rPr>
                <w:color w:val="0E2841" w:themeColor="text2"/>
              </w:rPr>
            </w:pPr>
            <w:r w:rsidRPr="002F52EE">
              <w:rPr>
                <w:b/>
                <w:bCs/>
                <w:color w:val="0E2841" w:themeColor="text2"/>
                <w:sz w:val="20"/>
                <w:szCs w:val="20"/>
              </w:rPr>
              <w:t>Associated Learning Outcomes</w:t>
            </w:r>
          </w:p>
        </w:tc>
        <w:tc>
          <w:tcPr>
            <w:tcW w:w="1805" w:type="dxa"/>
            <w:tcBorders>
              <w:top w:val="single" w:sz="4" w:space="0" w:color="AAAAAA"/>
              <w:bottom w:val="single" w:sz="4" w:space="0" w:color="CCCCCC"/>
            </w:tcBorders>
            <w:shd w:val="clear" w:color="auto" w:fill="C1E4F5" w:themeFill="accent1" w:themeFillTint="33"/>
            <w:vAlign w:val="center"/>
          </w:tcPr>
          <w:p w14:paraId="04F2E2AA" w14:textId="77777777" w:rsidR="0003392D" w:rsidRPr="002F52EE" w:rsidRDefault="00000000">
            <w:pPr>
              <w:spacing w:before="60" w:after="60"/>
              <w:jc w:val="center"/>
              <w:rPr>
                <w:color w:val="0E2841" w:themeColor="text2"/>
              </w:rPr>
            </w:pPr>
            <w:r w:rsidRPr="002F52EE">
              <w:rPr>
                <w:b/>
                <w:bCs/>
                <w:color w:val="0E2841" w:themeColor="text2"/>
                <w:sz w:val="20"/>
                <w:szCs w:val="20"/>
              </w:rPr>
              <w:t>Due Date / Location</w:t>
            </w:r>
          </w:p>
        </w:tc>
      </w:tr>
      <w:tr w:rsidR="0003392D" w14:paraId="195D7095" w14:textId="77777777" w:rsidTr="009F7314">
        <w:tc>
          <w:tcPr>
            <w:tcW w:w="2518" w:type="dxa"/>
            <w:tcBorders>
              <w:top w:val="single" w:sz="4" w:space="0" w:color="CCCCCC"/>
            </w:tcBorders>
            <w:shd w:val="clear" w:color="auto" w:fill="FFFFFF"/>
          </w:tcPr>
          <w:p w14:paraId="7218F285" w14:textId="77777777" w:rsidR="0003392D" w:rsidRDefault="00000000">
            <w:pPr>
              <w:spacing w:before="60" w:after="60"/>
            </w:pPr>
            <w:r>
              <w:rPr>
                <w:color w:val="000000"/>
              </w:rPr>
              <w:t>Group Health Policy Brief</w:t>
            </w:r>
          </w:p>
        </w:tc>
        <w:tc>
          <w:tcPr>
            <w:tcW w:w="944" w:type="dxa"/>
            <w:tcBorders>
              <w:top w:val="single" w:sz="4" w:space="0" w:color="CCCCCC"/>
            </w:tcBorders>
            <w:shd w:val="clear" w:color="auto" w:fill="FFFFFF"/>
          </w:tcPr>
          <w:p w14:paraId="421CD752" w14:textId="484084F6" w:rsidR="0003392D" w:rsidRDefault="00860EFB">
            <w:pPr>
              <w:spacing w:before="60" w:after="60"/>
              <w:jc w:val="center"/>
            </w:pPr>
            <w:r>
              <w:rPr>
                <w:color w:val="000000"/>
              </w:rPr>
              <w:t>15%</w:t>
            </w:r>
          </w:p>
        </w:tc>
        <w:tc>
          <w:tcPr>
            <w:tcW w:w="2204" w:type="dxa"/>
            <w:tcBorders>
              <w:top w:val="single" w:sz="4" w:space="0" w:color="CCCCCC"/>
            </w:tcBorders>
            <w:shd w:val="clear" w:color="auto" w:fill="FFFFFF"/>
          </w:tcPr>
          <w:p w14:paraId="677D3A21" w14:textId="463B218C" w:rsidR="0003392D" w:rsidRDefault="00000000">
            <w:pPr>
              <w:spacing w:before="60" w:after="60"/>
            </w:pPr>
            <w:r>
              <w:rPr>
                <w:color w:val="000000"/>
              </w:rPr>
              <w:t>Groups of ~</w:t>
            </w:r>
            <w:r w:rsidR="00252C35">
              <w:rPr>
                <w:color w:val="000000"/>
              </w:rPr>
              <w:t>4</w:t>
            </w:r>
            <w:r>
              <w:rPr>
                <w:color w:val="000000"/>
              </w:rPr>
              <w:t xml:space="preserve"> students analyse a contemporary Canadian health policy question using economic reasoning and evidence. Written brief of 1,500–2,000 words addressed to a Minister of Health.</w:t>
            </w:r>
          </w:p>
        </w:tc>
        <w:tc>
          <w:tcPr>
            <w:tcW w:w="1889" w:type="dxa"/>
            <w:tcBorders>
              <w:top w:val="single" w:sz="4" w:space="0" w:color="CCCCCC"/>
            </w:tcBorders>
            <w:shd w:val="clear" w:color="auto" w:fill="FFFFFF"/>
          </w:tcPr>
          <w:p w14:paraId="4A2BFFEB" w14:textId="77777777" w:rsidR="0003392D" w:rsidRDefault="00000000" w:rsidP="00ED227D">
            <w:pPr>
              <w:spacing w:before="60" w:after="60"/>
              <w:jc w:val="center"/>
            </w:pPr>
            <w:r>
              <w:rPr>
                <w:color w:val="000000"/>
              </w:rPr>
              <w:t>LO 2, 6, 7, 8</w:t>
            </w:r>
          </w:p>
        </w:tc>
        <w:tc>
          <w:tcPr>
            <w:tcW w:w="1805" w:type="dxa"/>
            <w:tcBorders>
              <w:top w:val="single" w:sz="4" w:space="0" w:color="CCCCCC"/>
            </w:tcBorders>
            <w:shd w:val="clear" w:color="auto" w:fill="FFFFFF"/>
          </w:tcPr>
          <w:p w14:paraId="1505C4D9" w14:textId="77777777" w:rsidR="0003392D" w:rsidRDefault="00000000">
            <w:pPr>
              <w:spacing w:before="60" w:after="60"/>
            </w:pPr>
            <w:r>
              <w:rPr>
                <w:color w:val="000000"/>
              </w:rPr>
              <w:t>Week of Nov 24 (</w:t>
            </w:r>
            <w:proofErr w:type="spellStart"/>
            <w:r>
              <w:rPr>
                <w:color w:val="000000"/>
              </w:rPr>
              <w:t>CourseLink</w:t>
            </w:r>
            <w:proofErr w:type="spellEnd"/>
            <w:r>
              <w:rPr>
                <w:color w:val="000000"/>
              </w:rPr>
              <w:t>)</w:t>
            </w:r>
          </w:p>
        </w:tc>
      </w:tr>
      <w:tr w:rsidR="0003392D" w14:paraId="2E9C94D7" w14:textId="77777777" w:rsidTr="009F7314">
        <w:tc>
          <w:tcPr>
            <w:tcW w:w="2518" w:type="dxa"/>
            <w:shd w:val="clear" w:color="auto" w:fill="F2F2F2"/>
          </w:tcPr>
          <w:p w14:paraId="30B4BD00" w14:textId="77777777" w:rsidR="0003392D" w:rsidRDefault="00000000">
            <w:pPr>
              <w:spacing w:before="60" w:after="60"/>
            </w:pPr>
            <w:r>
              <w:rPr>
                <w:color w:val="000000"/>
              </w:rPr>
              <w:t>Recorded Group Presentation</w:t>
            </w:r>
          </w:p>
        </w:tc>
        <w:tc>
          <w:tcPr>
            <w:tcW w:w="944" w:type="dxa"/>
            <w:shd w:val="clear" w:color="auto" w:fill="F2F2F2"/>
          </w:tcPr>
          <w:p w14:paraId="20C37DAC" w14:textId="086A548E" w:rsidR="0003392D" w:rsidRDefault="00860EFB">
            <w:pPr>
              <w:spacing w:before="60" w:after="60"/>
              <w:jc w:val="center"/>
            </w:pPr>
            <w:r>
              <w:rPr>
                <w:color w:val="000000"/>
              </w:rPr>
              <w:t>15%</w:t>
            </w:r>
          </w:p>
        </w:tc>
        <w:tc>
          <w:tcPr>
            <w:tcW w:w="2204" w:type="dxa"/>
            <w:shd w:val="clear" w:color="auto" w:fill="F2F2F2"/>
          </w:tcPr>
          <w:p w14:paraId="06B8ECB4" w14:textId="5596280A" w:rsidR="0003392D" w:rsidRDefault="00000000">
            <w:pPr>
              <w:spacing w:before="60" w:after="60"/>
            </w:pPr>
            <w:r>
              <w:rPr>
                <w:color w:val="000000"/>
              </w:rPr>
              <w:t xml:space="preserve">Each group submits a </w:t>
            </w:r>
            <w:r w:rsidR="000E1218">
              <w:rPr>
                <w:color w:val="000000"/>
              </w:rPr>
              <w:t>10–12-minute</w:t>
            </w:r>
            <w:r>
              <w:rPr>
                <w:color w:val="000000"/>
              </w:rPr>
              <w:t xml:space="preserve"> recorded presentation summarising and defending their policy brief. Assessed individually based on demonstrated understanding.</w:t>
            </w:r>
          </w:p>
        </w:tc>
        <w:tc>
          <w:tcPr>
            <w:tcW w:w="1889" w:type="dxa"/>
            <w:shd w:val="clear" w:color="auto" w:fill="F2F2F2"/>
          </w:tcPr>
          <w:p w14:paraId="7F5D7839" w14:textId="77777777" w:rsidR="0003392D" w:rsidRDefault="00000000" w:rsidP="00ED227D">
            <w:pPr>
              <w:spacing w:before="60" w:after="60"/>
              <w:jc w:val="center"/>
            </w:pPr>
            <w:r>
              <w:rPr>
                <w:color w:val="000000"/>
              </w:rPr>
              <w:t>LO 2, 6, 7, 8</w:t>
            </w:r>
          </w:p>
        </w:tc>
        <w:tc>
          <w:tcPr>
            <w:tcW w:w="1805" w:type="dxa"/>
            <w:shd w:val="clear" w:color="auto" w:fill="F2F2F2"/>
          </w:tcPr>
          <w:p w14:paraId="3FDA23CF" w14:textId="77777777" w:rsidR="0003392D" w:rsidRDefault="00000000">
            <w:pPr>
              <w:spacing w:before="60" w:after="60"/>
            </w:pPr>
            <w:r>
              <w:rPr>
                <w:color w:val="000000"/>
              </w:rPr>
              <w:t>Week of Nov 24 (</w:t>
            </w:r>
            <w:proofErr w:type="spellStart"/>
            <w:r>
              <w:rPr>
                <w:color w:val="000000"/>
              </w:rPr>
              <w:t>CourseLink</w:t>
            </w:r>
            <w:proofErr w:type="spellEnd"/>
            <w:r>
              <w:rPr>
                <w:color w:val="000000"/>
              </w:rPr>
              <w:t>)</w:t>
            </w:r>
          </w:p>
        </w:tc>
      </w:tr>
      <w:tr w:rsidR="0003392D" w14:paraId="2CEBE3AE" w14:textId="77777777" w:rsidTr="009F7314">
        <w:tc>
          <w:tcPr>
            <w:tcW w:w="2518" w:type="dxa"/>
            <w:shd w:val="clear" w:color="auto" w:fill="FFFFFF"/>
          </w:tcPr>
          <w:p w14:paraId="4806D160" w14:textId="77777777" w:rsidR="0003392D" w:rsidRDefault="00000000">
            <w:pPr>
              <w:spacing w:before="60" w:after="60"/>
            </w:pPr>
            <w:r>
              <w:rPr>
                <w:color w:val="000000"/>
              </w:rPr>
              <w:t>Midterm Examination (in-person, closed-book)</w:t>
            </w:r>
          </w:p>
        </w:tc>
        <w:tc>
          <w:tcPr>
            <w:tcW w:w="944" w:type="dxa"/>
            <w:shd w:val="clear" w:color="auto" w:fill="FFFFFF"/>
          </w:tcPr>
          <w:p w14:paraId="489B1E79" w14:textId="77777777" w:rsidR="0003392D" w:rsidRDefault="00000000">
            <w:pPr>
              <w:spacing w:before="60" w:after="60"/>
              <w:jc w:val="center"/>
            </w:pPr>
            <w:r>
              <w:rPr>
                <w:color w:val="000000"/>
              </w:rPr>
              <w:t>30%</w:t>
            </w:r>
          </w:p>
        </w:tc>
        <w:tc>
          <w:tcPr>
            <w:tcW w:w="2204" w:type="dxa"/>
            <w:shd w:val="clear" w:color="auto" w:fill="FFFFFF"/>
          </w:tcPr>
          <w:p w14:paraId="01ECF68E" w14:textId="4F995129" w:rsidR="0003392D" w:rsidRDefault="008F5E50">
            <w:pPr>
              <w:spacing w:before="60" w:after="60"/>
            </w:pPr>
            <w:r>
              <w:t xml:space="preserve">Written examination covering all course material through the </w:t>
            </w:r>
            <w:r>
              <w:rPr>
                <w:rStyle w:val="Strong"/>
              </w:rPr>
              <w:t xml:space="preserve">October 22 </w:t>
            </w:r>
            <w:r w:rsidRPr="008F5E50">
              <w:rPr>
                <w:rStyle w:val="Strong"/>
                <w:b w:val="0"/>
                <w:bCs w:val="0"/>
              </w:rPr>
              <w:t>lecture (Physician Agency and Supplier-Induced Demand).</w:t>
            </w:r>
            <w:r>
              <w:t xml:space="preserve"> In-class, closed-book. </w:t>
            </w:r>
            <w:r w:rsidR="00A22B2F">
              <w:t>Midterm grades/feedback</w:t>
            </w:r>
            <w:r>
              <w:rPr>
                <w:color w:val="000000"/>
              </w:rPr>
              <w:t xml:space="preserve"> returned by the November 6 feedback milestone.</w:t>
            </w:r>
          </w:p>
        </w:tc>
        <w:tc>
          <w:tcPr>
            <w:tcW w:w="1889" w:type="dxa"/>
            <w:shd w:val="clear" w:color="auto" w:fill="FFFFFF"/>
          </w:tcPr>
          <w:p w14:paraId="7ABB5CF4" w14:textId="77777777" w:rsidR="0003392D" w:rsidRDefault="00000000" w:rsidP="00ED227D">
            <w:pPr>
              <w:spacing w:before="60" w:after="60"/>
              <w:jc w:val="center"/>
            </w:pPr>
            <w:r>
              <w:rPr>
                <w:color w:val="000000"/>
              </w:rPr>
              <w:t>LO 1, 2, 3, 4</w:t>
            </w:r>
          </w:p>
        </w:tc>
        <w:tc>
          <w:tcPr>
            <w:tcW w:w="1805" w:type="dxa"/>
            <w:shd w:val="clear" w:color="auto" w:fill="FFFFFF"/>
          </w:tcPr>
          <w:p w14:paraId="00EA05C4" w14:textId="77777777" w:rsidR="0003392D" w:rsidRDefault="00000000">
            <w:pPr>
              <w:spacing w:before="60" w:after="60"/>
            </w:pPr>
            <w:r>
              <w:rPr>
                <w:color w:val="000000"/>
              </w:rPr>
              <w:t>Thu Oct 29 (in class)</w:t>
            </w:r>
          </w:p>
        </w:tc>
      </w:tr>
      <w:tr w:rsidR="0003392D" w14:paraId="610A9F5A" w14:textId="77777777" w:rsidTr="009F7314">
        <w:tc>
          <w:tcPr>
            <w:tcW w:w="2518" w:type="dxa"/>
            <w:shd w:val="clear" w:color="auto" w:fill="F2F2F2"/>
          </w:tcPr>
          <w:p w14:paraId="708A5BE2" w14:textId="77777777" w:rsidR="0003392D" w:rsidRDefault="00000000">
            <w:pPr>
              <w:spacing w:before="60" w:after="60"/>
            </w:pPr>
            <w:r>
              <w:rPr>
                <w:color w:val="000000"/>
              </w:rPr>
              <w:lastRenderedPageBreak/>
              <w:t>Final Examination (in-person, closed-book)</w:t>
            </w:r>
          </w:p>
        </w:tc>
        <w:tc>
          <w:tcPr>
            <w:tcW w:w="944" w:type="dxa"/>
            <w:shd w:val="clear" w:color="auto" w:fill="F2F2F2"/>
          </w:tcPr>
          <w:p w14:paraId="06F3D1FF" w14:textId="77777777" w:rsidR="0003392D" w:rsidRDefault="00000000">
            <w:pPr>
              <w:spacing w:before="60" w:after="60"/>
              <w:jc w:val="center"/>
            </w:pPr>
            <w:r>
              <w:rPr>
                <w:color w:val="000000"/>
              </w:rPr>
              <w:t>40%</w:t>
            </w:r>
          </w:p>
        </w:tc>
        <w:tc>
          <w:tcPr>
            <w:tcW w:w="2204" w:type="dxa"/>
            <w:shd w:val="clear" w:color="auto" w:fill="F2F2F2"/>
          </w:tcPr>
          <w:p w14:paraId="52CBDA1C" w14:textId="77777777" w:rsidR="0003392D" w:rsidRDefault="00000000">
            <w:pPr>
              <w:spacing w:before="60" w:after="60"/>
            </w:pPr>
            <w:r>
              <w:rPr>
                <w:color w:val="000000"/>
              </w:rPr>
              <w:t>Comprehensive written examination covering all six modules.</w:t>
            </w:r>
          </w:p>
        </w:tc>
        <w:tc>
          <w:tcPr>
            <w:tcW w:w="1889" w:type="dxa"/>
            <w:shd w:val="clear" w:color="auto" w:fill="F2F2F2"/>
          </w:tcPr>
          <w:p w14:paraId="717B4008" w14:textId="77777777" w:rsidR="0003392D" w:rsidRDefault="00000000" w:rsidP="00ED227D">
            <w:pPr>
              <w:spacing w:before="60" w:after="60"/>
              <w:jc w:val="center"/>
            </w:pPr>
            <w:r>
              <w:rPr>
                <w:color w:val="000000"/>
              </w:rPr>
              <w:t>LO 1–8</w:t>
            </w:r>
          </w:p>
        </w:tc>
        <w:tc>
          <w:tcPr>
            <w:tcW w:w="1805" w:type="dxa"/>
            <w:shd w:val="clear" w:color="auto" w:fill="F2F2F2"/>
          </w:tcPr>
          <w:p w14:paraId="20546746" w14:textId="3343C601" w:rsidR="0003392D" w:rsidRDefault="00CC5A5F">
            <w:pPr>
              <w:spacing w:before="60" w:after="60"/>
            </w:pPr>
            <w:r>
              <w:t xml:space="preserve">TBA </w:t>
            </w:r>
          </w:p>
        </w:tc>
      </w:tr>
      <w:tr w:rsidR="0003392D" w14:paraId="0B08386C" w14:textId="77777777" w:rsidTr="009F7314">
        <w:tc>
          <w:tcPr>
            <w:tcW w:w="2518" w:type="dxa"/>
            <w:shd w:val="clear" w:color="auto" w:fill="D9E8F5"/>
            <w:vAlign w:val="center"/>
          </w:tcPr>
          <w:p w14:paraId="355D84BC" w14:textId="77777777" w:rsidR="0003392D" w:rsidRDefault="00000000">
            <w:pPr>
              <w:spacing w:before="60" w:after="60"/>
              <w:jc w:val="center"/>
            </w:pPr>
            <w:r>
              <w:rPr>
                <w:b/>
                <w:bCs/>
                <w:color w:val="000000"/>
              </w:rPr>
              <w:t>Total</w:t>
            </w:r>
          </w:p>
        </w:tc>
        <w:tc>
          <w:tcPr>
            <w:tcW w:w="944" w:type="dxa"/>
            <w:shd w:val="clear" w:color="auto" w:fill="D9E8F5"/>
            <w:vAlign w:val="center"/>
          </w:tcPr>
          <w:p w14:paraId="5FB9EB26" w14:textId="77777777" w:rsidR="0003392D" w:rsidRDefault="00000000">
            <w:pPr>
              <w:spacing w:before="60" w:after="60"/>
              <w:jc w:val="center"/>
            </w:pPr>
            <w:r>
              <w:rPr>
                <w:b/>
                <w:bCs/>
                <w:color w:val="000000"/>
              </w:rPr>
              <w:t>100%</w:t>
            </w:r>
          </w:p>
        </w:tc>
        <w:tc>
          <w:tcPr>
            <w:tcW w:w="2204" w:type="dxa"/>
            <w:shd w:val="clear" w:color="auto" w:fill="D9E8F5"/>
            <w:vAlign w:val="center"/>
          </w:tcPr>
          <w:p w14:paraId="7A7EFC40" w14:textId="77777777" w:rsidR="0003392D" w:rsidRDefault="0003392D">
            <w:pPr>
              <w:spacing w:before="60" w:after="60"/>
            </w:pPr>
          </w:p>
        </w:tc>
        <w:tc>
          <w:tcPr>
            <w:tcW w:w="1889" w:type="dxa"/>
            <w:shd w:val="clear" w:color="auto" w:fill="D9E8F5"/>
            <w:vAlign w:val="center"/>
          </w:tcPr>
          <w:p w14:paraId="74A00F38" w14:textId="77777777" w:rsidR="0003392D" w:rsidRDefault="0003392D">
            <w:pPr>
              <w:spacing w:before="60" w:after="60"/>
            </w:pPr>
          </w:p>
        </w:tc>
        <w:tc>
          <w:tcPr>
            <w:tcW w:w="1805" w:type="dxa"/>
            <w:shd w:val="clear" w:color="auto" w:fill="D9E8F5"/>
            <w:vAlign w:val="center"/>
          </w:tcPr>
          <w:p w14:paraId="3B74CDCE" w14:textId="77777777" w:rsidR="0003392D" w:rsidRDefault="0003392D">
            <w:pPr>
              <w:spacing w:before="60" w:after="60"/>
            </w:pPr>
          </w:p>
        </w:tc>
      </w:tr>
    </w:tbl>
    <w:p w14:paraId="55693FE1" w14:textId="77777777" w:rsidR="0003392D" w:rsidRDefault="0003392D">
      <w:pPr>
        <w:spacing w:after="120"/>
      </w:pPr>
    </w:p>
    <w:p w14:paraId="41C480DE" w14:textId="77777777" w:rsidR="0003392D" w:rsidRDefault="00000000" w:rsidP="000355A3">
      <w:pPr>
        <w:pStyle w:val="Heading1"/>
        <w:shd w:val="clear" w:color="auto" w:fill="D9D9D9" w:themeFill="background1" w:themeFillShade="D9"/>
      </w:pPr>
      <w:r>
        <w:t>Teaching and Learning Practices</w:t>
      </w:r>
    </w:p>
    <w:tbl>
      <w:tblPr>
        <w:tblW w:w="9360" w:type="dxa"/>
        <w:tblBorders>
          <w:top w:val="single" w:sz="4" w:space="0" w:color="AAAAAA"/>
          <w:left w:val="single" w:sz="4" w:space="0" w:color="AAAAAA"/>
          <w:bottom w:val="single" w:sz="4" w:space="0" w:color="AAAAAA"/>
          <w:right w:val="single" w:sz="4" w:space="0" w:color="AAAAAA"/>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2160"/>
        <w:gridCol w:w="7200"/>
      </w:tblGrid>
      <w:tr w:rsidR="0003392D" w:rsidRPr="002F52EE" w14:paraId="3CF683BF" w14:textId="77777777" w:rsidTr="002F52EE">
        <w:trPr>
          <w:tblHeader/>
        </w:trPr>
        <w:tc>
          <w:tcPr>
            <w:tcW w:w="2160" w:type="dxa"/>
            <w:tcBorders>
              <w:top w:val="single" w:sz="4" w:space="0" w:color="AAAAAA"/>
              <w:bottom w:val="single" w:sz="4" w:space="0" w:color="CCCCCC"/>
            </w:tcBorders>
            <w:shd w:val="clear" w:color="auto" w:fill="C1E4F5" w:themeFill="accent1" w:themeFillTint="33"/>
            <w:vAlign w:val="center"/>
          </w:tcPr>
          <w:p w14:paraId="2A908E3B" w14:textId="77777777" w:rsidR="0003392D" w:rsidRPr="002F52EE" w:rsidRDefault="00000000">
            <w:pPr>
              <w:spacing w:before="60" w:after="60"/>
              <w:jc w:val="center"/>
              <w:rPr>
                <w:color w:val="0E2841" w:themeColor="text2"/>
              </w:rPr>
            </w:pPr>
            <w:r w:rsidRPr="002F52EE">
              <w:rPr>
                <w:b/>
                <w:bCs/>
                <w:color w:val="0E2841" w:themeColor="text2"/>
                <w:sz w:val="20"/>
                <w:szCs w:val="20"/>
              </w:rPr>
              <w:t>Format</w:t>
            </w:r>
          </w:p>
        </w:tc>
        <w:tc>
          <w:tcPr>
            <w:tcW w:w="7200" w:type="dxa"/>
            <w:tcBorders>
              <w:top w:val="single" w:sz="4" w:space="0" w:color="AAAAAA"/>
              <w:bottom w:val="single" w:sz="4" w:space="0" w:color="CCCCCC"/>
            </w:tcBorders>
            <w:shd w:val="clear" w:color="auto" w:fill="C1E4F5" w:themeFill="accent1" w:themeFillTint="33"/>
            <w:vAlign w:val="center"/>
          </w:tcPr>
          <w:p w14:paraId="06AD2F26" w14:textId="77777777" w:rsidR="0003392D" w:rsidRPr="002F52EE" w:rsidRDefault="00000000">
            <w:pPr>
              <w:spacing w:before="60" w:after="60"/>
              <w:jc w:val="center"/>
              <w:rPr>
                <w:color w:val="0E2841" w:themeColor="text2"/>
              </w:rPr>
            </w:pPr>
            <w:r w:rsidRPr="002F52EE">
              <w:rPr>
                <w:b/>
                <w:bCs/>
                <w:color w:val="0E2841" w:themeColor="text2"/>
                <w:sz w:val="20"/>
                <w:szCs w:val="20"/>
              </w:rPr>
              <w:t>Description</w:t>
            </w:r>
          </w:p>
        </w:tc>
      </w:tr>
      <w:tr w:rsidR="0003392D" w14:paraId="10E9C408" w14:textId="77777777" w:rsidTr="002F52EE">
        <w:tc>
          <w:tcPr>
            <w:tcW w:w="2160" w:type="dxa"/>
            <w:tcBorders>
              <w:top w:val="single" w:sz="4" w:space="0" w:color="CCCCCC"/>
            </w:tcBorders>
            <w:shd w:val="clear" w:color="auto" w:fill="FFFFFF"/>
          </w:tcPr>
          <w:p w14:paraId="5829000A" w14:textId="77777777" w:rsidR="0003392D" w:rsidRDefault="00000000">
            <w:pPr>
              <w:spacing w:before="60" w:after="60"/>
            </w:pPr>
            <w:r>
              <w:rPr>
                <w:color w:val="000000"/>
              </w:rPr>
              <w:t>Lectures</w:t>
            </w:r>
          </w:p>
        </w:tc>
        <w:tc>
          <w:tcPr>
            <w:tcW w:w="7200" w:type="dxa"/>
            <w:tcBorders>
              <w:top w:val="single" w:sz="4" w:space="0" w:color="CCCCCC"/>
            </w:tcBorders>
            <w:shd w:val="clear" w:color="auto" w:fill="FFFFFF"/>
          </w:tcPr>
          <w:p w14:paraId="37F36EAD" w14:textId="54A8CE1B" w:rsidR="0003392D" w:rsidRDefault="00000000" w:rsidP="00E967D5">
            <w:pPr>
              <w:spacing w:after="120"/>
            </w:pPr>
            <w:r>
              <w:rPr>
                <w:color w:val="000000"/>
              </w:rPr>
              <w:t xml:space="preserve">Two 80-minute sessions per week. </w:t>
            </w:r>
            <w:r w:rsidR="00E967D5">
              <w:t>Lectures introduce core concepts and economic models, apply them to contemporary health policy issues, and incorporate interactive discussions, polling questions, case studies, and applied economic exercises.</w:t>
            </w:r>
          </w:p>
        </w:tc>
      </w:tr>
      <w:tr w:rsidR="0003392D" w14:paraId="4E6E1EFC" w14:textId="77777777">
        <w:tc>
          <w:tcPr>
            <w:tcW w:w="2160" w:type="dxa"/>
            <w:shd w:val="clear" w:color="auto" w:fill="F2F2F2"/>
          </w:tcPr>
          <w:p w14:paraId="731230EF" w14:textId="5A213F60" w:rsidR="0003392D" w:rsidRDefault="00000000">
            <w:pPr>
              <w:spacing w:before="60" w:after="60"/>
            </w:pPr>
            <w:r>
              <w:rPr>
                <w:color w:val="000000"/>
              </w:rPr>
              <w:t>In-Class Polling</w:t>
            </w:r>
            <w:r w:rsidR="007B0D5B">
              <w:rPr>
                <w:color w:val="000000"/>
              </w:rPr>
              <w:t>/Discussion</w:t>
            </w:r>
          </w:p>
        </w:tc>
        <w:tc>
          <w:tcPr>
            <w:tcW w:w="7200" w:type="dxa"/>
            <w:shd w:val="clear" w:color="auto" w:fill="F2F2F2"/>
          </w:tcPr>
          <w:p w14:paraId="1BEC2C59" w14:textId="3B1DCB38" w:rsidR="0003392D" w:rsidRDefault="00000000" w:rsidP="00E967D5">
            <w:pPr>
              <w:spacing w:before="60" w:after="60"/>
            </w:pPr>
            <w:r>
              <w:rPr>
                <w:color w:val="000000"/>
              </w:rPr>
              <w:t>Brief polling</w:t>
            </w:r>
            <w:r w:rsidR="008F5E50">
              <w:rPr>
                <w:color w:val="000000"/>
              </w:rPr>
              <w:t xml:space="preserve"> and </w:t>
            </w:r>
            <w:r w:rsidR="007B0D5B">
              <w:rPr>
                <w:color w:val="000000"/>
              </w:rPr>
              <w:t>discussion</w:t>
            </w:r>
            <w:r>
              <w:rPr>
                <w:color w:val="000000"/>
              </w:rPr>
              <w:t xml:space="preserve"> questions </w:t>
            </w:r>
            <w:r w:rsidR="008F5E50">
              <w:rPr>
                <w:color w:val="000000"/>
              </w:rPr>
              <w:t>are used throughout the course to</w:t>
            </w:r>
            <w:r>
              <w:rPr>
                <w:color w:val="000000"/>
              </w:rPr>
              <w:t xml:space="preserve"> connect prior material to new topics</w:t>
            </w:r>
            <w:r w:rsidR="007B0D5B">
              <w:rPr>
                <w:color w:val="000000"/>
              </w:rPr>
              <w:t xml:space="preserve">, </w:t>
            </w:r>
            <w:r w:rsidR="008F5E50">
              <w:rPr>
                <w:color w:val="000000"/>
              </w:rPr>
              <w:t xml:space="preserve">check understanding, </w:t>
            </w:r>
            <w:r>
              <w:rPr>
                <w:color w:val="000000"/>
              </w:rPr>
              <w:t>encourag</w:t>
            </w:r>
            <w:r w:rsidR="008F5E50">
              <w:rPr>
                <w:color w:val="000000"/>
              </w:rPr>
              <w:t>e</w:t>
            </w:r>
            <w:r>
              <w:rPr>
                <w:color w:val="000000"/>
              </w:rPr>
              <w:t xml:space="preserve"> engagement</w:t>
            </w:r>
            <w:r w:rsidR="007B0D5B">
              <w:rPr>
                <w:color w:val="000000"/>
              </w:rPr>
              <w:t xml:space="preserve"> </w:t>
            </w:r>
            <w:r>
              <w:rPr>
                <w:color w:val="000000"/>
              </w:rPr>
              <w:t>and guid</w:t>
            </w:r>
            <w:r w:rsidR="008F5E50">
              <w:rPr>
                <w:color w:val="000000"/>
              </w:rPr>
              <w:t>e</w:t>
            </w:r>
            <w:r>
              <w:rPr>
                <w:color w:val="000000"/>
              </w:rPr>
              <w:t xml:space="preserve"> discussion.</w:t>
            </w:r>
            <w:r w:rsidR="00572C2E">
              <w:rPr>
                <w:color w:val="000000"/>
              </w:rPr>
              <w:t xml:space="preserve"> </w:t>
            </w:r>
          </w:p>
        </w:tc>
      </w:tr>
      <w:tr w:rsidR="0003392D" w14:paraId="24A354D9" w14:textId="77777777">
        <w:tc>
          <w:tcPr>
            <w:tcW w:w="2160" w:type="dxa"/>
            <w:shd w:val="clear" w:color="auto" w:fill="FFFFFF"/>
          </w:tcPr>
          <w:p w14:paraId="71A77C6A" w14:textId="77777777" w:rsidR="0003392D" w:rsidRDefault="00000000">
            <w:pPr>
              <w:spacing w:before="60" w:after="60"/>
            </w:pPr>
            <w:r>
              <w:rPr>
                <w:color w:val="000000"/>
              </w:rPr>
              <w:t>Group Project Work</w:t>
            </w:r>
          </w:p>
        </w:tc>
        <w:tc>
          <w:tcPr>
            <w:tcW w:w="7200" w:type="dxa"/>
            <w:shd w:val="clear" w:color="auto" w:fill="FFFFFF"/>
          </w:tcPr>
          <w:p w14:paraId="415CEAAA" w14:textId="77777777" w:rsidR="0003392D" w:rsidRDefault="00000000" w:rsidP="00E967D5">
            <w:pPr>
              <w:spacing w:before="60" w:after="60"/>
            </w:pPr>
            <w:r>
              <w:rPr>
                <w:color w:val="000000"/>
              </w:rPr>
              <w:t>The Health Policy Brief and Presentation require collaborative work outside class. Groups are encouraged to use office hours for feedback on their analysis and framing before submission.</w:t>
            </w:r>
          </w:p>
        </w:tc>
      </w:tr>
      <w:tr w:rsidR="0003392D" w14:paraId="405D4D90" w14:textId="77777777">
        <w:tc>
          <w:tcPr>
            <w:tcW w:w="2160" w:type="dxa"/>
            <w:shd w:val="clear" w:color="auto" w:fill="F2F2F2"/>
          </w:tcPr>
          <w:p w14:paraId="28FAE18D" w14:textId="77777777" w:rsidR="0003392D" w:rsidRDefault="00000000">
            <w:pPr>
              <w:spacing w:before="60" w:after="60"/>
            </w:pPr>
            <w:proofErr w:type="spellStart"/>
            <w:r>
              <w:rPr>
                <w:color w:val="000000"/>
              </w:rPr>
              <w:t>CourseLink</w:t>
            </w:r>
            <w:proofErr w:type="spellEnd"/>
            <w:r>
              <w:rPr>
                <w:color w:val="000000"/>
              </w:rPr>
              <w:t>/D2L</w:t>
            </w:r>
          </w:p>
        </w:tc>
        <w:tc>
          <w:tcPr>
            <w:tcW w:w="7200" w:type="dxa"/>
            <w:shd w:val="clear" w:color="auto" w:fill="F2F2F2"/>
          </w:tcPr>
          <w:p w14:paraId="3BAB9419" w14:textId="77777777" w:rsidR="0003392D" w:rsidRDefault="00000000">
            <w:pPr>
              <w:spacing w:before="60" w:after="60"/>
              <w:jc w:val="center"/>
            </w:pPr>
            <w:r>
              <w:rPr>
                <w:color w:val="000000"/>
              </w:rPr>
              <w:t xml:space="preserve">All course materials, announcements, readings, and assignment instructions are posted on </w:t>
            </w:r>
            <w:proofErr w:type="spellStart"/>
            <w:r>
              <w:rPr>
                <w:color w:val="000000"/>
              </w:rPr>
              <w:t>CourseLink</w:t>
            </w:r>
            <w:proofErr w:type="spellEnd"/>
            <w:r>
              <w:rPr>
                <w:color w:val="000000"/>
              </w:rPr>
              <w:t xml:space="preserve">. Students are expected to check </w:t>
            </w:r>
            <w:proofErr w:type="spellStart"/>
            <w:r>
              <w:rPr>
                <w:color w:val="000000"/>
              </w:rPr>
              <w:t>CourseLink</w:t>
            </w:r>
            <w:proofErr w:type="spellEnd"/>
            <w:r>
              <w:rPr>
                <w:color w:val="000000"/>
              </w:rPr>
              <w:t xml:space="preserve"> regularly.</w:t>
            </w:r>
          </w:p>
        </w:tc>
      </w:tr>
    </w:tbl>
    <w:p w14:paraId="567555EB" w14:textId="77777777" w:rsidR="0003392D" w:rsidRDefault="0003392D">
      <w:pPr>
        <w:spacing w:after="120"/>
      </w:pPr>
    </w:p>
    <w:p w14:paraId="6E6DF295" w14:textId="77777777" w:rsidR="0003392D" w:rsidRDefault="00000000" w:rsidP="00656870">
      <w:pPr>
        <w:pStyle w:val="Heading1"/>
        <w:shd w:val="clear" w:color="auto" w:fill="D9D9D9" w:themeFill="background1" w:themeFillShade="D9"/>
      </w:pPr>
      <w:r>
        <w:t>Course Resources</w:t>
      </w:r>
    </w:p>
    <w:p w14:paraId="0B0032A5" w14:textId="77777777" w:rsidR="0003392D" w:rsidRDefault="00000000">
      <w:pPr>
        <w:pStyle w:val="Heading2"/>
      </w:pPr>
      <w:r>
        <w:t>Required Text</w:t>
      </w:r>
    </w:p>
    <w:p w14:paraId="21A3A8CD" w14:textId="118890B3" w:rsidR="0003392D" w:rsidRDefault="00000000">
      <w:pPr>
        <w:pStyle w:val="ListParagraph"/>
        <w:numPr>
          <w:ilvl w:val="0"/>
          <w:numId w:val="1"/>
        </w:numPr>
        <w:spacing w:after="60"/>
      </w:pPr>
      <w:r>
        <w:rPr>
          <w:color w:val="000000"/>
        </w:rPr>
        <w:t>Bhattacharya, J., Hyde, T., &amp; Tu, P. Health Economics. Palgrave Macmillan. [Primary textbook; selected chapters assigned per module.]</w:t>
      </w:r>
      <w:r w:rsidR="000E1218">
        <w:rPr>
          <w:color w:val="000000"/>
        </w:rPr>
        <w:t xml:space="preserve"> </w:t>
      </w:r>
      <w:r w:rsidR="000E1218" w:rsidRPr="000E1218">
        <w:rPr>
          <w:rStyle w:val="Strong"/>
          <w:b w:val="0"/>
          <w:bCs w:val="0"/>
        </w:rPr>
        <w:t>Approximate cost:</w:t>
      </w:r>
      <w:r w:rsidR="000E1218">
        <w:t xml:space="preserve"> $130 CAD (new); </w:t>
      </w:r>
      <w:proofErr w:type="gramStart"/>
      <w:r w:rsidR="000E1218">
        <w:t>lower-cost</w:t>
      </w:r>
      <w:proofErr w:type="gramEnd"/>
      <w:r w:rsidR="000E1218">
        <w:t xml:space="preserve"> used/e-book options may be available.</w:t>
      </w:r>
    </w:p>
    <w:p w14:paraId="1E8F978B" w14:textId="77777777" w:rsidR="0003392D" w:rsidRDefault="00000000">
      <w:pPr>
        <w:pStyle w:val="Heading2"/>
      </w:pPr>
      <w:r>
        <w:t>Recommended Supplementary Texts</w:t>
      </w:r>
    </w:p>
    <w:p w14:paraId="574E425D" w14:textId="7F1A4F01" w:rsidR="00893991" w:rsidRPr="00F64827" w:rsidRDefault="00893991" w:rsidP="00893991">
      <w:pPr>
        <w:pStyle w:val="ListParagraph"/>
        <w:numPr>
          <w:ilvl w:val="0"/>
          <w:numId w:val="2"/>
        </w:numPr>
        <w:rPr>
          <w:rFonts w:eastAsia="Times New Roman"/>
        </w:rPr>
      </w:pPr>
      <w:r w:rsidRPr="00F64827">
        <w:rPr>
          <w:rFonts w:eastAsia="Times New Roman"/>
        </w:rPr>
        <w:t xml:space="preserve">Selected journal articles and policy reports posted on </w:t>
      </w:r>
      <w:proofErr w:type="spellStart"/>
      <w:r w:rsidRPr="00F64827">
        <w:rPr>
          <w:rFonts w:eastAsia="Times New Roman"/>
        </w:rPr>
        <w:t>CourseLink</w:t>
      </w:r>
      <w:proofErr w:type="spellEnd"/>
      <w:r w:rsidRPr="00F64827">
        <w:rPr>
          <w:rFonts w:eastAsia="Times New Roman"/>
        </w:rPr>
        <w:t xml:space="preserve">. </w:t>
      </w:r>
    </w:p>
    <w:p w14:paraId="7054DBD3" w14:textId="7039D1ED" w:rsidR="00893991" w:rsidRPr="00F64827" w:rsidRDefault="00893991" w:rsidP="00893991">
      <w:pPr>
        <w:pStyle w:val="ListParagraph"/>
        <w:numPr>
          <w:ilvl w:val="0"/>
          <w:numId w:val="2"/>
        </w:numPr>
        <w:rPr>
          <w:rFonts w:eastAsia="Times New Roman"/>
        </w:rPr>
      </w:pPr>
      <w:r w:rsidRPr="00F64827">
        <w:rPr>
          <w:rFonts w:eastAsia="Times New Roman"/>
        </w:rPr>
        <w:t xml:space="preserve">Your intermediate microeconomics textbook (useful for reviewing core economic concepts and tools). </w:t>
      </w:r>
    </w:p>
    <w:p w14:paraId="6CB592DA" w14:textId="66B65197" w:rsidR="00893991" w:rsidRPr="00F64827" w:rsidRDefault="00893991" w:rsidP="00893991">
      <w:pPr>
        <w:pStyle w:val="ListParagraph"/>
        <w:numPr>
          <w:ilvl w:val="0"/>
          <w:numId w:val="2"/>
        </w:numPr>
        <w:spacing w:after="60"/>
      </w:pPr>
      <w:r w:rsidRPr="00F64827">
        <w:t xml:space="preserve">Pauly, M. V., McGuire, T. G., &amp; Barros, P. P. (Eds.). </w:t>
      </w:r>
      <w:r w:rsidRPr="00F64827">
        <w:rPr>
          <w:rStyle w:val="Emphasis"/>
        </w:rPr>
        <w:t>Handbook of Health Economics, Volume 2</w:t>
      </w:r>
      <w:r w:rsidRPr="00F64827">
        <w:t>. Elsevier, 2011. (Optional reference for students interested in exploring topics in greater depth.)</w:t>
      </w:r>
    </w:p>
    <w:p w14:paraId="5768595B" w14:textId="77777777" w:rsidR="0003392D" w:rsidRDefault="00000000">
      <w:pPr>
        <w:pStyle w:val="Heading2"/>
      </w:pPr>
      <w:r>
        <w:t>Other Resources</w:t>
      </w:r>
    </w:p>
    <w:p w14:paraId="76CA5457" w14:textId="77777777" w:rsidR="0003392D" w:rsidRDefault="00000000">
      <w:pPr>
        <w:pStyle w:val="ListParagraph"/>
        <w:numPr>
          <w:ilvl w:val="0"/>
          <w:numId w:val="1"/>
        </w:numPr>
        <w:spacing w:after="60"/>
      </w:pPr>
      <w:r>
        <w:rPr>
          <w:color w:val="000000"/>
        </w:rPr>
        <w:t>Canadian Institute for Health Information — cihi.ca</w:t>
      </w:r>
    </w:p>
    <w:p w14:paraId="4B1287D0" w14:textId="77777777" w:rsidR="0003392D" w:rsidRDefault="00000000">
      <w:pPr>
        <w:pStyle w:val="ListParagraph"/>
        <w:numPr>
          <w:ilvl w:val="0"/>
          <w:numId w:val="1"/>
        </w:numPr>
        <w:spacing w:after="60"/>
      </w:pPr>
      <w:r>
        <w:rPr>
          <w:color w:val="000000"/>
        </w:rPr>
        <w:t>Statistics Canada Health Statistics — statcan.gc.ca</w:t>
      </w:r>
    </w:p>
    <w:p w14:paraId="20F11A4B" w14:textId="77777777" w:rsidR="0003392D" w:rsidRDefault="00000000">
      <w:pPr>
        <w:pStyle w:val="ListParagraph"/>
        <w:numPr>
          <w:ilvl w:val="0"/>
          <w:numId w:val="1"/>
        </w:numPr>
        <w:spacing w:after="60"/>
      </w:pPr>
      <w:r>
        <w:rPr>
          <w:color w:val="000000"/>
        </w:rPr>
        <w:t>OECD Health Statistics — stats.oecd.org</w:t>
      </w:r>
    </w:p>
    <w:p w14:paraId="5C8A8004" w14:textId="77777777" w:rsidR="0003392D" w:rsidRDefault="00000000">
      <w:pPr>
        <w:pStyle w:val="ListParagraph"/>
        <w:numPr>
          <w:ilvl w:val="0"/>
          <w:numId w:val="1"/>
        </w:numPr>
        <w:spacing w:after="60"/>
      </w:pPr>
      <w:r>
        <w:rPr>
          <w:color w:val="000000"/>
        </w:rPr>
        <w:lastRenderedPageBreak/>
        <w:t>CADTH Health Technology Assessments — cadth.ca</w:t>
      </w:r>
    </w:p>
    <w:p w14:paraId="485E1250" w14:textId="77777777" w:rsidR="0003392D" w:rsidRDefault="00000000">
      <w:pPr>
        <w:pStyle w:val="ListParagraph"/>
        <w:numPr>
          <w:ilvl w:val="0"/>
          <w:numId w:val="1"/>
        </w:numPr>
        <w:spacing w:after="60"/>
      </w:pPr>
      <w:r>
        <w:rPr>
          <w:color w:val="000000"/>
        </w:rPr>
        <w:t>PMPRB / Health Canada — drug pricing and regulatory data — pmprb-cepmb.gc.ca</w:t>
      </w:r>
    </w:p>
    <w:p w14:paraId="5BF16060" w14:textId="77777777" w:rsidR="0003392D" w:rsidRDefault="00000000">
      <w:pPr>
        <w:pStyle w:val="ListParagraph"/>
        <w:numPr>
          <w:ilvl w:val="0"/>
          <w:numId w:val="1"/>
        </w:numPr>
        <w:spacing w:after="60"/>
      </w:pPr>
      <w:r>
        <w:rPr>
          <w:color w:val="000000"/>
        </w:rPr>
        <w:t>NBER Health Economics Working Papers — nber.org</w:t>
      </w:r>
    </w:p>
    <w:p w14:paraId="00FC130B" w14:textId="77777777" w:rsidR="00893991" w:rsidRDefault="00893991">
      <w:pPr>
        <w:spacing w:after="120"/>
        <w:rPr>
          <w:b/>
          <w:bCs/>
          <w:color w:val="000000"/>
        </w:rPr>
      </w:pPr>
    </w:p>
    <w:p w14:paraId="560B307E" w14:textId="7931A7B7" w:rsidR="0003392D" w:rsidRDefault="00000000">
      <w:pPr>
        <w:spacing w:after="120"/>
      </w:pPr>
      <w:r>
        <w:rPr>
          <w:b/>
          <w:bCs/>
          <w:color w:val="000000"/>
        </w:rPr>
        <w:t xml:space="preserve">Citation style: </w:t>
      </w:r>
      <w:r>
        <w:rPr>
          <w:color w:val="000000"/>
        </w:rPr>
        <w:t>All written work must use Chicago Author-Date style.</w:t>
      </w:r>
    </w:p>
    <w:p w14:paraId="06504804" w14:textId="77777777" w:rsidR="0003392D" w:rsidRDefault="0003392D">
      <w:pPr>
        <w:pageBreakBefore/>
      </w:pPr>
    </w:p>
    <w:p w14:paraId="50E766B1" w14:textId="77777777" w:rsidR="0003392D" w:rsidRDefault="00000000" w:rsidP="00656870">
      <w:pPr>
        <w:pStyle w:val="Heading1"/>
        <w:shd w:val="clear" w:color="auto" w:fill="D9D9D9" w:themeFill="background1" w:themeFillShade="D9"/>
      </w:pPr>
      <w:r>
        <w:t>Weekly Lecture Schedule</w:t>
      </w:r>
    </w:p>
    <w:p w14:paraId="585B78B4" w14:textId="77777777" w:rsidR="0003392D" w:rsidRDefault="00000000">
      <w:pPr>
        <w:spacing w:after="120"/>
      </w:pPr>
      <w:r>
        <w:rPr>
          <w:color w:val="000000"/>
        </w:rPr>
        <w:t>Calendar note: Fall 2026 classes begin Thursday, September 10. October 13 is a Fall Study Break Day (no class). The makeup lecture runs Thursday, December 3 on a Tuesday schedule.</w:t>
      </w:r>
    </w:p>
    <w:p w14:paraId="48327A84" w14:textId="77777777" w:rsidR="0003392D" w:rsidRDefault="00000000">
      <w:pPr>
        <w:pStyle w:val="Heading2"/>
      </w:pPr>
      <w:r>
        <w:t>Module 1 — Demand for Health, Health Behaviours, and Health Disparities</w:t>
      </w:r>
    </w:p>
    <w:p w14:paraId="5392EDB9" w14:textId="77777777" w:rsidR="0003392D" w:rsidRDefault="00000000">
      <w:pPr>
        <w:pStyle w:val="Heading3"/>
      </w:pPr>
      <w:r>
        <w:rPr>
          <w:color w:val="000000"/>
        </w:rPr>
        <w:t>Thu Sep 10: Introduction — What Is Health Economics?</w:t>
      </w:r>
    </w:p>
    <w:p w14:paraId="46B6AEE5" w14:textId="77777777" w:rsidR="0003392D" w:rsidRDefault="00000000">
      <w:pPr>
        <w:spacing w:after="60"/>
      </w:pPr>
      <w:r>
        <w:rPr>
          <w:b/>
          <w:bCs/>
          <w:color w:val="000000"/>
        </w:rPr>
        <w:t xml:space="preserve">Reading: </w:t>
      </w:r>
      <w:r>
        <w:rPr>
          <w:color w:val="000000"/>
        </w:rPr>
        <w:t>Bhattacharya Ch. 1</w:t>
      </w:r>
    </w:p>
    <w:p w14:paraId="2534D924" w14:textId="77777777" w:rsidR="00190F89" w:rsidRDefault="00190F89" w:rsidP="00190F89">
      <w:pPr>
        <w:pStyle w:val="ListParagraph"/>
        <w:numPr>
          <w:ilvl w:val="0"/>
          <w:numId w:val="1"/>
        </w:numPr>
        <w:spacing w:after="60"/>
      </w:pPr>
      <w:r>
        <w:t>Opening policy poll and the central puzzles of health economics</w:t>
      </w:r>
    </w:p>
    <w:p w14:paraId="777B01EE" w14:textId="77777777" w:rsidR="00190F89" w:rsidRDefault="00190F89" w:rsidP="00190F89">
      <w:pPr>
        <w:pStyle w:val="ListParagraph"/>
        <w:numPr>
          <w:ilvl w:val="0"/>
          <w:numId w:val="1"/>
        </w:numPr>
        <w:spacing w:after="60"/>
      </w:pPr>
      <w:r>
        <w:t>Scarcity, trade-offs, and opportunity cost in health and healthcare</w:t>
      </w:r>
    </w:p>
    <w:p w14:paraId="45060F15" w14:textId="77777777" w:rsidR="00190F89" w:rsidRDefault="00190F89" w:rsidP="00190F89">
      <w:pPr>
        <w:pStyle w:val="ListParagraph"/>
        <w:numPr>
          <w:ilvl w:val="0"/>
          <w:numId w:val="1"/>
        </w:numPr>
        <w:spacing w:after="60"/>
      </w:pPr>
      <w:r>
        <w:t>Health versus healthcare: health economics is broader than the economics of healthcare</w:t>
      </w:r>
    </w:p>
    <w:p w14:paraId="147D69A1" w14:textId="77777777" w:rsidR="00190F89" w:rsidRDefault="00190F89" w:rsidP="00190F89">
      <w:pPr>
        <w:pStyle w:val="ListParagraph"/>
        <w:numPr>
          <w:ilvl w:val="0"/>
          <w:numId w:val="1"/>
        </w:numPr>
        <w:spacing w:after="60"/>
      </w:pPr>
      <w:r>
        <w:t>Why are some people healthier than others? A first look at choices and constraints</w:t>
      </w:r>
    </w:p>
    <w:p w14:paraId="2A4A0687" w14:textId="77777777" w:rsidR="00190F89" w:rsidRDefault="00190F89" w:rsidP="00190F89">
      <w:pPr>
        <w:pStyle w:val="ListParagraph"/>
        <w:numPr>
          <w:ilvl w:val="0"/>
          <w:numId w:val="1"/>
        </w:numPr>
        <w:spacing w:after="60"/>
      </w:pPr>
      <w:r>
        <w:t>Why healthcare is economically unusual</w:t>
      </w:r>
    </w:p>
    <w:p w14:paraId="1A9E9817" w14:textId="2432ED68" w:rsidR="00190F89" w:rsidRDefault="00190F89" w:rsidP="00190F89">
      <w:pPr>
        <w:pStyle w:val="ListParagraph"/>
        <w:numPr>
          <w:ilvl w:val="0"/>
          <w:numId w:val="1"/>
        </w:numPr>
        <w:spacing w:after="60"/>
      </w:pPr>
      <w:r>
        <w:t>Big questions that organise the course</w:t>
      </w:r>
    </w:p>
    <w:p w14:paraId="1C57A978" w14:textId="77777777" w:rsidR="0003392D" w:rsidRDefault="00000000">
      <w:pPr>
        <w:pStyle w:val="Heading3"/>
      </w:pPr>
      <w:r>
        <w:rPr>
          <w:color w:val="000000"/>
        </w:rPr>
        <w:t>Tue Sep 15: Understanding the Canadian Healthcare System</w:t>
      </w:r>
    </w:p>
    <w:p w14:paraId="6A0D3449" w14:textId="77777777" w:rsidR="0003392D" w:rsidRDefault="00000000">
      <w:pPr>
        <w:spacing w:after="60"/>
      </w:pPr>
      <w:r>
        <w:rPr>
          <w:b/>
          <w:bCs/>
          <w:color w:val="000000"/>
        </w:rPr>
        <w:t xml:space="preserve">Reading: </w:t>
      </w:r>
      <w:r>
        <w:rPr>
          <w:color w:val="000000"/>
        </w:rPr>
        <w:t>Course notes (Canadian healthcare system)</w:t>
      </w:r>
    </w:p>
    <w:p w14:paraId="7649ECBF" w14:textId="77777777" w:rsidR="004019FE" w:rsidRDefault="004019FE" w:rsidP="004019FE">
      <w:pPr>
        <w:pStyle w:val="ListParagraph"/>
        <w:numPr>
          <w:ilvl w:val="0"/>
          <w:numId w:val="1"/>
        </w:numPr>
        <w:spacing w:after="60"/>
      </w:pPr>
      <w:r>
        <w:t>Why Canada has a publicly financed but privately delivered health system</w:t>
      </w:r>
    </w:p>
    <w:p w14:paraId="0D0C55C0" w14:textId="77777777" w:rsidR="004019FE" w:rsidRDefault="004019FE" w:rsidP="004019FE">
      <w:pPr>
        <w:pStyle w:val="ListParagraph"/>
        <w:numPr>
          <w:ilvl w:val="0"/>
          <w:numId w:val="1"/>
        </w:numPr>
        <w:spacing w:after="60"/>
      </w:pPr>
      <w:r>
        <w:t>Federalism, Medicare, and the Canada Health Act</w:t>
      </w:r>
    </w:p>
    <w:p w14:paraId="2D424BB1" w14:textId="77777777" w:rsidR="004019FE" w:rsidRDefault="004019FE" w:rsidP="004019FE">
      <w:pPr>
        <w:pStyle w:val="ListParagraph"/>
        <w:numPr>
          <w:ilvl w:val="0"/>
          <w:numId w:val="1"/>
        </w:numPr>
        <w:spacing w:after="60"/>
      </w:pPr>
      <w:r>
        <w:t>What Medicare covers—and why some services remain outside public coverage</w:t>
      </w:r>
    </w:p>
    <w:p w14:paraId="635E8DD4" w14:textId="77777777" w:rsidR="004019FE" w:rsidRDefault="004019FE" w:rsidP="004019FE">
      <w:pPr>
        <w:pStyle w:val="ListParagraph"/>
        <w:numPr>
          <w:ilvl w:val="0"/>
          <w:numId w:val="1"/>
        </w:numPr>
        <w:spacing w:after="60"/>
      </w:pPr>
      <w:r>
        <w:t>Comparing Canada's health system with other countries</w:t>
      </w:r>
    </w:p>
    <w:p w14:paraId="04C5ADA0" w14:textId="3D73F7A0" w:rsidR="004019FE" w:rsidRDefault="004019FE" w:rsidP="004019FE">
      <w:pPr>
        <w:pStyle w:val="ListParagraph"/>
        <w:numPr>
          <w:ilvl w:val="0"/>
          <w:numId w:val="1"/>
        </w:numPr>
        <w:spacing w:after="60"/>
      </w:pPr>
      <w:r>
        <w:t>Current challenges: wait times, physician shortages, pharmacare, and the economics of reform</w:t>
      </w:r>
    </w:p>
    <w:p w14:paraId="299D606C" w14:textId="77777777" w:rsidR="0003392D" w:rsidRDefault="00000000">
      <w:pPr>
        <w:pStyle w:val="Heading3"/>
      </w:pPr>
      <w:r>
        <w:rPr>
          <w:color w:val="000000"/>
        </w:rPr>
        <w:t>Thu Sep 17: Demand for Healthcare</w:t>
      </w:r>
    </w:p>
    <w:p w14:paraId="1588D5E5" w14:textId="77777777" w:rsidR="0003392D" w:rsidRDefault="00000000">
      <w:pPr>
        <w:spacing w:after="60"/>
      </w:pPr>
      <w:r>
        <w:rPr>
          <w:b/>
          <w:bCs/>
          <w:color w:val="000000"/>
        </w:rPr>
        <w:t xml:space="preserve">Reading: </w:t>
      </w:r>
      <w:r>
        <w:rPr>
          <w:color w:val="000000"/>
        </w:rPr>
        <w:t>Bhattacharya Ch. 2</w:t>
      </w:r>
    </w:p>
    <w:p w14:paraId="3D8270AF" w14:textId="77777777" w:rsidR="0003392D" w:rsidRDefault="00000000">
      <w:pPr>
        <w:pStyle w:val="ListParagraph"/>
        <w:numPr>
          <w:ilvl w:val="0"/>
          <w:numId w:val="1"/>
        </w:numPr>
        <w:spacing w:after="60"/>
      </w:pPr>
      <w:r>
        <w:rPr>
          <w:color w:val="000000"/>
        </w:rPr>
        <w:t>Applying consumer-demand theory to medical care</w:t>
      </w:r>
    </w:p>
    <w:p w14:paraId="5029AFC8" w14:textId="77777777" w:rsidR="0003392D" w:rsidRDefault="00000000">
      <w:pPr>
        <w:pStyle w:val="ListParagraph"/>
        <w:numPr>
          <w:ilvl w:val="0"/>
          <w:numId w:val="1"/>
        </w:numPr>
        <w:spacing w:after="60"/>
      </w:pPr>
      <w:r>
        <w:rPr>
          <w:color w:val="000000"/>
        </w:rPr>
        <w:t>What is the price of healthcare? Money price, insurance, waiting/travel time, and opportunity cost</w:t>
      </w:r>
    </w:p>
    <w:p w14:paraId="6A496D10" w14:textId="77777777" w:rsidR="0003392D" w:rsidRDefault="00000000">
      <w:pPr>
        <w:pStyle w:val="ListParagraph"/>
        <w:numPr>
          <w:ilvl w:val="0"/>
          <w:numId w:val="1"/>
        </w:numPr>
        <w:spacing w:after="60"/>
      </w:pPr>
      <w:r>
        <w:rPr>
          <w:color w:val="000000"/>
        </w:rPr>
        <w:t>Demand curves, shifts versus movements along demand, and elasticity</w:t>
      </w:r>
    </w:p>
    <w:p w14:paraId="1DE9DDC0" w14:textId="77777777" w:rsidR="0003392D" w:rsidRDefault="00000000">
      <w:pPr>
        <w:pStyle w:val="ListParagraph"/>
        <w:numPr>
          <w:ilvl w:val="0"/>
          <w:numId w:val="1"/>
        </w:numPr>
        <w:spacing w:after="60"/>
      </w:pPr>
      <w:r>
        <w:rPr>
          <w:color w:val="000000"/>
        </w:rPr>
        <w:t>Why healthcare demand is unusual: uncertainty, insurance, and physician agency</w:t>
      </w:r>
    </w:p>
    <w:p w14:paraId="2FECC78C" w14:textId="77777777" w:rsidR="0003392D" w:rsidRDefault="00000000">
      <w:pPr>
        <w:pStyle w:val="Heading3"/>
      </w:pPr>
      <w:r>
        <w:rPr>
          <w:color w:val="000000"/>
        </w:rPr>
        <w:t>Tue Sep 22: The Demand for Health — Grossman Model I</w:t>
      </w:r>
    </w:p>
    <w:p w14:paraId="29B01390" w14:textId="77777777" w:rsidR="0003392D" w:rsidRDefault="00000000">
      <w:pPr>
        <w:spacing w:after="60"/>
      </w:pPr>
      <w:r>
        <w:rPr>
          <w:b/>
          <w:bCs/>
          <w:color w:val="000000"/>
        </w:rPr>
        <w:t xml:space="preserve">Reading: </w:t>
      </w:r>
      <w:r>
        <w:rPr>
          <w:color w:val="000000"/>
        </w:rPr>
        <w:t>Bhattacharya Ch. 3</w:t>
      </w:r>
    </w:p>
    <w:p w14:paraId="62EB3CA6" w14:textId="77777777" w:rsidR="0003392D" w:rsidRDefault="00000000">
      <w:pPr>
        <w:pStyle w:val="ListParagraph"/>
        <w:numPr>
          <w:ilvl w:val="0"/>
          <w:numId w:val="1"/>
        </w:numPr>
        <w:spacing w:after="60"/>
      </w:pPr>
      <w:r>
        <w:rPr>
          <w:color w:val="000000"/>
        </w:rPr>
        <w:t>Why are some people healthier than others? Choices versus constraints</w:t>
      </w:r>
    </w:p>
    <w:p w14:paraId="75829520" w14:textId="77777777" w:rsidR="0003392D" w:rsidRDefault="00000000">
      <w:pPr>
        <w:pStyle w:val="ListParagraph"/>
        <w:numPr>
          <w:ilvl w:val="0"/>
          <w:numId w:val="1"/>
        </w:numPr>
        <w:spacing w:after="60"/>
      </w:pPr>
      <w:r>
        <w:rPr>
          <w:color w:val="000000"/>
        </w:rPr>
        <w:t>Health as a durable capital stock: the bank-account analogy</w:t>
      </w:r>
    </w:p>
    <w:p w14:paraId="2D9FF140" w14:textId="77777777" w:rsidR="0003392D" w:rsidRDefault="00000000">
      <w:pPr>
        <w:pStyle w:val="ListParagraph"/>
        <w:numPr>
          <w:ilvl w:val="0"/>
          <w:numId w:val="1"/>
        </w:numPr>
        <w:spacing w:after="60"/>
      </w:pPr>
      <w:r>
        <w:rPr>
          <w:color w:val="000000"/>
        </w:rPr>
        <w:t>Depreciation and health investment</w:t>
      </w:r>
    </w:p>
    <w:p w14:paraId="6BF6EB0E" w14:textId="77777777" w:rsidR="0003392D" w:rsidRDefault="00000000">
      <w:pPr>
        <w:pStyle w:val="ListParagraph"/>
        <w:numPr>
          <w:ilvl w:val="0"/>
          <w:numId w:val="1"/>
        </w:numPr>
        <w:spacing w:after="60"/>
      </w:pPr>
      <w:r>
        <w:rPr>
          <w:color w:val="000000"/>
        </w:rPr>
        <w:t>Health is produced, not purchased: medical care and time as inputs; education as a productivity shifter</w:t>
      </w:r>
    </w:p>
    <w:p w14:paraId="7AA46ADF" w14:textId="77777777" w:rsidR="0003392D" w:rsidRDefault="00000000">
      <w:pPr>
        <w:pStyle w:val="ListParagraph"/>
        <w:numPr>
          <w:ilvl w:val="0"/>
          <w:numId w:val="1"/>
        </w:numPr>
        <w:spacing w:after="60"/>
      </w:pPr>
      <w:r>
        <w:rPr>
          <w:color w:val="000000"/>
        </w:rPr>
        <w:t>Consumption and investment motives</w:t>
      </w:r>
    </w:p>
    <w:p w14:paraId="10A4F7B5" w14:textId="77777777" w:rsidR="0003392D" w:rsidRDefault="00000000">
      <w:pPr>
        <w:pStyle w:val="ListParagraph"/>
        <w:numPr>
          <w:ilvl w:val="0"/>
          <w:numId w:val="1"/>
        </w:numPr>
        <w:spacing w:after="60"/>
      </w:pPr>
      <w:r>
        <w:rPr>
          <w:color w:val="000000"/>
        </w:rPr>
        <w:t>Optimal investment: marginal benefit equals marginal cost</w:t>
      </w:r>
    </w:p>
    <w:p w14:paraId="23BF96A0" w14:textId="77777777" w:rsidR="0003392D" w:rsidRDefault="00000000">
      <w:pPr>
        <w:pStyle w:val="Heading3"/>
      </w:pPr>
      <w:r>
        <w:rPr>
          <w:color w:val="000000"/>
        </w:rPr>
        <w:t>Thu Sep 24: Grossman Model II — Optimal Health and Predictions</w:t>
      </w:r>
    </w:p>
    <w:p w14:paraId="080230A0" w14:textId="77777777" w:rsidR="0003392D" w:rsidRDefault="00000000">
      <w:pPr>
        <w:spacing w:after="60"/>
      </w:pPr>
      <w:r>
        <w:rPr>
          <w:b/>
          <w:bCs/>
          <w:color w:val="000000"/>
        </w:rPr>
        <w:lastRenderedPageBreak/>
        <w:t xml:space="preserve">Reading: </w:t>
      </w:r>
      <w:r>
        <w:rPr>
          <w:color w:val="000000"/>
        </w:rPr>
        <w:t>Bhattacharya Ch. 3</w:t>
      </w:r>
    </w:p>
    <w:p w14:paraId="57101BF4" w14:textId="77777777" w:rsidR="0003392D" w:rsidRDefault="00000000">
      <w:pPr>
        <w:pStyle w:val="ListParagraph"/>
        <w:numPr>
          <w:ilvl w:val="0"/>
          <w:numId w:val="1"/>
        </w:numPr>
        <w:spacing w:after="60"/>
      </w:pPr>
      <w:r>
        <w:rPr>
          <w:color w:val="000000"/>
        </w:rPr>
        <w:t>Optimal health stock and the user/rental cost of health capital</w:t>
      </w:r>
    </w:p>
    <w:p w14:paraId="200D3177" w14:textId="77777777" w:rsidR="0003392D" w:rsidRDefault="00000000">
      <w:pPr>
        <w:pStyle w:val="ListParagraph"/>
        <w:numPr>
          <w:ilvl w:val="0"/>
          <w:numId w:val="1"/>
        </w:numPr>
        <w:spacing w:after="60"/>
      </w:pPr>
      <w:r>
        <w:rPr>
          <w:color w:val="000000"/>
        </w:rPr>
        <w:t>Marginal efficiency of health capital</w:t>
      </w:r>
    </w:p>
    <w:p w14:paraId="352F6332" w14:textId="77777777" w:rsidR="0003392D" w:rsidRDefault="00000000">
      <w:pPr>
        <w:pStyle w:val="ListParagraph"/>
        <w:numPr>
          <w:ilvl w:val="0"/>
          <w:numId w:val="1"/>
        </w:numPr>
        <w:spacing w:after="60"/>
      </w:pPr>
      <w:r>
        <w:rPr>
          <w:color w:val="000000"/>
        </w:rPr>
        <w:t>Comparative statics: age and depreciation, wages, education, and medical-care prices</w:t>
      </w:r>
    </w:p>
    <w:p w14:paraId="75FD3B25" w14:textId="77777777" w:rsidR="0003392D" w:rsidRDefault="00000000">
      <w:pPr>
        <w:pStyle w:val="ListParagraph"/>
        <w:numPr>
          <w:ilvl w:val="0"/>
          <w:numId w:val="1"/>
        </w:numPr>
        <w:spacing w:after="60"/>
      </w:pPr>
      <w:r>
        <w:rPr>
          <w:color w:val="000000"/>
        </w:rPr>
        <w:t>Productive efficiency and the education-health gradient</w:t>
      </w:r>
    </w:p>
    <w:p w14:paraId="0ED2ED4F" w14:textId="77777777" w:rsidR="0003392D" w:rsidRDefault="00000000">
      <w:pPr>
        <w:pStyle w:val="ListParagraph"/>
        <w:numPr>
          <w:ilvl w:val="0"/>
          <w:numId w:val="1"/>
        </w:numPr>
        <w:spacing w:after="60"/>
      </w:pPr>
      <w:r>
        <w:rPr>
          <w:color w:val="000000"/>
        </w:rPr>
        <w:t>Evidence, applications, and limitations of the Grossman model</w:t>
      </w:r>
    </w:p>
    <w:p w14:paraId="4CE6B4B5" w14:textId="77777777" w:rsidR="0003392D" w:rsidRDefault="00000000">
      <w:pPr>
        <w:pStyle w:val="Heading3"/>
      </w:pPr>
      <w:r>
        <w:rPr>
          <w:color w:val="000000"/>
        </w:rPr>
        <w:t>Tue Sep 29: Health Inequalities and Socioeconomic Disparities</w:t>
      </w:r>
    </w:p>
    <w:p w14:paraId="49AF68C2" w14:textId="77777777" w:rsidR="0003392D" w:rsidRDefault="00000000">
      <w:pPr>
        <w:spacing w:after="60"/>
      </w:pPr>
      <w:r>
        <w:rPr>
          <w:b/>
          <w:bCs/>
          <w:color w:val="000000"/>
        </w:rPr>
        <w:t xml:space="preserve">Reading: </w:t>
      </w:r>
      <w:r>
        <w:rPr>
          <w:color w:val="000000"/>
        </w:rPr>
        <w:t>Bhattacharya Ch. 4</w:t>
      </w:r>
    </w:p>
    <w:p w14:paraId="6952AE9E" w14:textId="77777777" w:rsidR="0003392D" w:rsidRDefault="00000000">
      <w:pPr>
        <w:pStyle w:val="ListParagraph"/>
        <w:numPr>
          <w:ilvl w:val="0"/>
          <w:numId w:val="1"/>
        </w:numPr>
        <w:spacing w:after="60"/>
      </w:pPr>
      <w:r>
        <w:rPr>
          <w:color w:val="000000"/>
        </w:rPr>
        <w:t>The socioeconomic gradient in health</w:t>
      </w:r>
    </w:p>
    <w:p w14:paraId="2401E2EE" w14:textId="77777777" w:rsidR="0003392D" w:rsidRDefault="00000000">
      <w:pPr>
        <w:pStyle w:val="ListParagraph"/>
        <w:numPr>
          <w:ilvl w:val="0"/>
          <w:numId w:val="1"/>
        </w:numPr>
        <w:spacing w:after="60"/>
      </w:pPr>
      <w:r>
        <w:rPr>
          <w:color w:val="000000"/>
        </w:rPr>
        <w:t>Income, education, housing, employment, environment, and early-life conditions</w:t>
      </w:r>
    </w:p>
    <w:p w14:paraId="776B7DC7" w14:textId="77777777" w:rsidR="0003392D" w:rsidRDefault="00000000">
      <w:pPr>
        <w:pStyle w:val="ListParagraph"/>
        <w:numPr>
          <w:ilvl w:val="0"/>
          <w:numId w:val="1"/>
        </w:numPr>
        <w:spacing w:after="60"/>
      </w:pPr>
      <w:r>
        <w:rPr>
          <w:color w:val="000000"/>
        </w:rPr>
        <w:t>Grossman, education, productive efficiency, and the education-health gradient</w:t>
      </w:r>
    </w:p>
    <w:p w14:paraId="71C539C5" w14:textId="77777777" w:rsidR="0003392D" w:rsidRDefault="00000000">
      <w:pPr>
        <w:pStyle w:val="ListParagraph"/>
        <w:numPr>
          <w:ilvl w:val="0"/>
          <w:numId w:val="1"/>
        </w:numPr>
        <w:spacing w:after="60"/>
      </w:pPr>
      <w:r>
        <w:rPr>
          <w:color w:val="000000"/>
        </w:rPr>
        <w:t>Choices versus constraints: how circumstances shape opportunities for health investment</w:t>
      </w:r>
    </w:p>
    <w:p w14:paraId="36462BC9" w14:textId="77777777" w:rsidR="0003392D" w:rsidRDefault="00000000">
      <w:pPr>
        <w:pStyle w:val="ListParagraph"/>
        <w:numPr>
          <w:ilvl w:val="0"/>
          <w:numId w:val="1"/>
        </w:numPr>
        <w:spacing w:after="60"/>
      </w:pPr>
      <w:r>
        <w:rPr>
          <w:color w:val="000000"/>
        </w:rPr>
        <w:t>Where individual-choice models help — and where they are incomplete</w:t>
      </w:r>
    </w:p>
    <w:p w14:paraId="3D0A832E" w14:textId="77777777" w:rsidR="0003392D" w:rsidRDefault="00000000">
      <w:pPr>
        <w:pStyle w:val="ListParagraph"/>
        <w:numPr>
          <w:ilvl w:val="0"/>
          <w:numId w:val="1"/>
        </w:numPr>
        <w:spacing w:after="60"/>
      </w:pPr>
      <w:r>
        <w:rPr>
          <w:color w:val="000000"/>
        </w:rPr>
        <w:t>Equity versus efficiency in health policy</w:t>
      </w:r>
    </w:p>
    <w:p w14:paraId="57574849" w14:textId="77777777" w:rsidR="0003392D" w:rsidRDefault="00000000">
      <w:pPr>
        <w:pStyle w:val="Heading3"/>
      </w:pPr>
      <w:r>
        <w:rPr>
          <w:color w:val="000000"/>
        </w:rPr>
        <w:t>Thu Oct 1: Health Behaviours I — Economic Models and Public Health</w:t>
      </w:r>
    </w:p>
    <w:p w14:paraId="4A7D0AC9" w14:textId="77777777" w:rsidR="0003392D" w:rsidRDefault="00000000">
      <w:pPr>
        <w:spacing w:after="60"/>
      </w:pPr>
      <w:r>
        <w:rPr>
          <w:b/>
          <w:bCs/>
          <w:color w:val="000000"/>
        </w:rPr>
        <w:t xml:space="preserve">Reading: </w:t>
      </w:r>
      <w:r>
        <w:rPr>
          <w:color w:val="000000"/>
        </w:rPr>
        <w:t>Course notes</w:t>
      </w:r>
    </w:p>
    <w:p w14:paraId="3A139AEF" w14:textId="77777777" w:rsidR="0003392D" w:rsidRDefault="00000000">
      <w:pPr>
        <w:pStyle w:val="ListParagraph"/>
        <w:numPr>
          <w:ilvl w:val="0"/>
          <w:numId w:val="1"/>
        </w:numPr>
        <w:spacing w:after="60"/>
      </w:pPr>
      <w:r>
        <w:rPr>
          <w:color w:val="000000"/>
        </w:rPr>
        <w:t>Why do people engage in behaviours they know may harm their health?</w:t>
      </w:r>
    </w:p>
    <w:p w14:paraId="1D2B9B78" w14:textId="77777777" w:rsidR="0003392D" w:rsidRDefault="00000000">
      <w:pPr>
        <w:pStyle w:val="ListParagraph"/>
        <w:numPr>
          <w:ilvl w:val="0"/>
          <w:numId w:val="1"/>
        </w:numPr>
        <w:spacing w:after="60"/>
      </w:pPr>
      <w:r>
        <w:rPr>
          <w:color w:val="000000"/>
        </w:rPr>
        <w:t>Preferences, prices, incentives, and forward-looking choice</w:t>
      </w:r>
    </w:p>
    <w:p w14:paraId="2CF7F980" w14:textId="77777777" w:rsidR="0003392D" w:rsidRDefault="00000000">
      <w:pPr>
        <w:pStyle w:val="ListParagraph"/>
        <w:numPr>
          <w:ilvl w:val="0"/>
          <w:numId w:val="1"/>
        </w:numPr>
        <w:spacing w:after="60"/>
      </w:pPr>
      <w:r>
        <w:rPr>
          <w:color w:val="000000"/>
        </w:rPr>
        <w:t>Health externalities and the economic rationale for intervention</w:t>
      </w:r>
    </w:p>
    <w:p w14:paraId="402B721A" w14:textId="77777777" w:rsidR="0003392D" w:rsidRDefault="00000000">
      <w:pPr>
        <w:pStyle w:val="ListParagraph"/>
        <w:numPr>
          <w:ilvl w:val="0"/>
          <w:numId w:val="1"/>
        </w:numPr>
        <w:spacing w:after="60"/>
      </w:pPr>
      <w:r>
        <w:rPr>
          <w:color w:val="000000"/>
        </w:rPr>
        <w:t>Rational addiction and addictive capital (Becker and Murphy)</w:t>
      </w:r>
    </w:p>
    <w:p w14:paraId="5DC517AD" w14:textId="77777777" w:rsidR="0003392D" w:rsidRDefault="00000000">
      <w:pPr>
        <w:pStyle w:val="ListParagraph"/>
        <w:numPr>
          <w:ilvl w:val="0"/>
          <w:numId w:val="1"/>
        </w:numPr>
        <w:spacing w:after="60"/>
      </w:pPr>
      <w:r>
        <w:rPr>
          <w:color w:val="000000"/>
        </w:rPr>
        <w:t>Applications: smoking, alcohol, vaping, diet, physical activity, and obesity</w:t>
      </w:r>
    </w:p>
    <w:p w14:paraId="6D2A2595" w14:textId="77777777" w:rsidR="0003392D" w:rsidRDefault="00000000">
      <w:pPr>
        <w:pStyle w:val="ListParagraph"/>
        <w:numPr>
          <w:ilvl w:val="0"/>
          <w:numId w:val="1"/>
        </w:numPr>
        <w:spacing w:after="60"/>
      </w:pPr>
      <w:r>
        <w:rPr>
          <w:color w:val="000000"/>
        </w:rPr>
        <w:t>Policy tools: taxes, subsidies, information, regulation, and bans</w:t>
      </w:r>
    </w:p>
    <w:p w14:paraId="04F0A7E3" w14:textId="77777777" w:rsidR="0003392D" w:rsidRDefault="00000000">
      <w:pPr>
        <w:pStyle w:val="Heading3"/>
      </w:pPr>
      <w:r>
        <w:rPr>
          <w:color w:val="000000"/>
        </w:rPr>
        <w:t>Tue Oct 6: Health Behaviours II — Behavioural Economics and Health</w:t>
      </w:r>
    </w:p>
    <w:p w14:paraId="1F657261" w14:textId="77777777" w:rsidR="0003392D" w:rsidRDefault="00000000">
      <w:pPr>
        <w:spacing w:after="60"/>
      </w:pPr>
      <w:r>
        <w:rPr>
          <w:b/>
          <w:bCs/>
          <w:color w:val="000000"/>
        </w:rPr>
        <w:t xml:space="preserve">Reading: </w:t>
      </w:r>
      <w:r>
        <w:rPr>
          <w:color w:val="000000"/>
        </w:rPr>
        <w:t>Course notes</w:t>
      </w:r>
    </w:p>
    <w:p w14:paraId="11E1AE96" w14:textId="77777777" w:rsidR="0003392D" w:rsidRDefault="00000000">
      <w:pPr>
        <w:pStyle w:val="ListParagraph"/>
        <w:numPr>
          <w:ilvl w:val="0"/>
          <w:numId w:val="1"/>
        </w:numPr>
        <w:spacing w:after="60"/>
      </w:pPr>
      <w:r>
        <w:rPr>
          <w:color w:val="000000"/>
        </w:rPr>
        <w:t>Why do people not always make the health choices they themselves want to make?</w:t>
      </w:r>
    </w:p>
    <w:p w14:paraId="19F35E93" w14:textId="77777777" w:rsidR="0003392D" w:rsidRDefault="00000000">
      <w:pPr>
        <w:pStyle w:val="ListParagraph"/>
        <w:numPr>
          <w:ilvl w:val="0"/>
          <w:numId w:val="1"/>
        </w:numPr>
        <w:spacing w:after="60"/>
      </w:pPr>
      <w:r>
        <w:rPr>
          <w:color w:val="000000"/>
        </w:rPr>
        <w:t>Present bias, time inconsistency, and self-control problems</w:t>
      </w:r>
    </w:p>
    <w:p w14:paraId="287FFC14" w14:textId="77777777" w:rsidR="0003392D" w:rsidRDefault="00000000">
      <w:pPr>
        <w:pStyle w:val="ListParagraph"/>
        <w:numPr>
          <w:ilvl w:val="0"/>
          <w:numId w:val="1"/>
        </w:numPr>
        <w:spacing w:after="60"/>
      </w:pPr>
      <w:r>
        <w:rPr>
          <w:color w:val="000000"/>
        </w:rPr>
        <w:t>Internalities and the behavioural rationale for intervention</w:t>
      </w:r>
    </w:p>
    <w:p w14:paraId="50F65A77" w14:textId="77777777" w:rsidR="0003392D" w:rsidRDefault="00000000">
      <w:pPr>
        <w:pStyle w:val="ListParagraph"/>
        <w:numPr>
          <w:ilvl w:val="0"/>
          <w:numId w:val="1"/>
        </w:numPr>
        <w:spacing w:after="60"/>
      </w:pPr>
      <w:r>
        <w:rPr>
          <w:color w:val="000000"/>
        </w:rPr>
        <w:t>Limited attention, salience, framing, and defaults</w:t>
      </w:r>
    </w:p>
    <w:p w14:paraId="15F960D9" w14:textId="77777777" w:rsidR="0003392D" w:rsidRDefault="00000000">
      <w:pPr>
        <w:pStyle w:val="ListParagraph"/>
        <w:numPr>
          <w:ilvl w:val="0"/>
          <w:numId w:val="1"/>
        </w:numPr>
        <w:spacing w:after="60"/>
      </w:pPr>
      <w:r>
        <w:rPr>
          <w:color w:val="000000"/>
        </w:rPr>
        <w:t>Nudges and commitment devices in health</w:t>
      </w:r>
    </w:p>
    <w:p w14:paraId="1B05219A" w14:textId="77777777" w:rsidR="0003392D" w:rsidRDefault="00000000">
      <w:pPr>
        <w:pStyle w:val="ListParagraph"/>
        <w:numPr>
          <w:ilvl w:val="0"/>
          <w:numId w:val="1"/>
        </w:numPr>
        <w:spacing w:after="60"/>
      </w:pPr>
      <w:r>
        <w:rPr>
          <w:color w:val="000000"/>
        </w:rPr>
        <w:t>Applications: smoking, diet, medication adherence, prevention, and physical activity</w:t>
      </w:r>
    </w:p>
    <w:p w14:paraId="2EE6D056" w14:textId="77777777" w:rsidR="0003392D" w:rsidRDefault="00000000">
      <w:pPr>
        <w:pStyle w:val="ListParagraph"/>
        <w:numPr>
          <w:ilvl w:val="0"/>
          <w:numId w:val="1"/>
        </w:numPr>
        <w:spacing w:after="60"/>
      </w:pPr>
      <w:r>
        <w:rPr>
          <w:color w:val="000000"/>
        </w:rPr>
        <w:t>Traditional versus behavioural explanations of unhealthy choices</w:t>
      </w:r>
    </w:p>
    <w:p w14:paraId="67D34057" w14:textId="77777777" w:rsidR="0003392D" w:rsidRDefault="00000000">
      <w:pPr>
        <w:pStyle w:val="Heading2"/>
      </w:pPr>
      <w:r>
        <w:t>Module 2 — Information Economics and Health Insurance</w:t>
      </w:r>
    </w:p>
    <w:p w14:paraId="2E58464A" w14:textId="77777777" w:rsidR="0003392D" w:rsidRDefault="00000000">
      <w:pPr>
        <w:pStyle w:val="Heading3"/>
      </w:pPr>
      <w:r>
        <w:rPr>
          <w:color w:val="000000"/>
        </w:rPr>
        <w:t>Thu Oct 8: Health Insurance I — Risk, Expected Utility, and the Demand for Insurance</w:t>
      </w:r>
    </w:p>
    <w:p w14:paraId="0B8D41F4" w14:textId="77777777" w:rsidR="0003392D" w:rsidRDefault="00000000">
      <w:pPr>
        <w:spacing w:after="60"/>
      </w:pPr>
      <w:r>
        <w:rPr>
          <w:b/>
          <w:bCs/>
          <w:color w:val="000000"/>
        </w:rPr>
        <w:t xml:space="preserve">Reading: </w:t>
      </w:r>
      <w:r>
        <w:rPr>
          <w:color w:val="000000"/>
        </w:rPr>
        <w:t>Bhattacharya Ch. 7</w:t>
      </w:r>
    </w:p>
    <w:p w14:paraId="4527E28A" w14:textId="77777777" w:rsidR="0003392D" w:rsidRDefault="00000000">
      <w:pPr>
        <w:pStyle w:val="ListParagraph"/>
        <w:numPr>
          <w:ilvl w:val="0"/>
          <w:numId w:val="1"/>
        </w:numPr>
        <w:spacing w:after="60"/>
      </w:pPr>
      <w:r>
        <w:rPr>
          <w:color w:val="000000"/>
        </w:rPr>
        <w:t>Uncertainty in health and medical spending</w:t>
      </w:r>
    </w:p>
    <w:p w14:paraId="262AAB1D" w14:textId="77777777" w:rsidR="0003392D" w:rsidRDefault="00000000">
      <w:pPr>
        <w:pStyle w:val="ListParagraph"/>
        <w:numPr>
          <w:ilvl w:val="0"/>
          <w:numId w:val="1"/>
        </w:numPr>
        <w:spacing w:after="60"/>
      </w:pPr>
      <w:r>
        <w:rPr>
          <w:color w:val="000000"/>
        </w:rPr>
        <w:t>Risk aversion, expected utility, and willingness to pay for insurance</w:t>
      </w:r>
    </w:p>
    <w:p w14:paraId="4DF34F5A" w14:textId="77777777" w:rsidR="0003392D" w:rsidRDefault="00000000">
      <w:pPr>
        <w:pStyle w:val="ListParagraph"/>
        <w:numPr>
          <w:ilvl w:val="0"/>
          <w:numId w:val="1"/>
        </w:numPr>
        <w:spacing w:after="60"/>
      </w:pPr>
      <w:r>
        <w:rPr>
          <w:color w:val="000000"/>
        </w:rPr>
        <w:t>Actuarially fair premiums, loading, and risk pooling</w:t>
      </w:r>
    </w:p>
    <w:p w14:paraId="0A38050B" w14:textId="77777777" w:rsidR="0003392D" w:rsidRDefault="00000000">
      <w:pPr>
        <w:pStyle w:val="ListParagraph"/>
        <w:numPr>
          <w:ilvl w:val="0"/>
          <w:numId w:val="1"/>
        </w:numPr>
        <w:spacing w:after="60"/>
      </w:pPr>
      <w:r>
        <w:rPr>
          <w:color w:val="000000"/>
        </w:rPr>
        <w:lastRenderedPageBreak/>
        <w:t>Why health insurance differs from insurance for other risks</w:t>
      </w:r>
    </w:p>
    <w:p w14:paraId="22262634" w14:textId="77777777" w:rsidR="0003392D" w:rsidRDefault="00000000">
      <w:pPr>
        <w:pStyle w:val="ListParagraph"/>
        <w:numPr>
          <w:ilvl w:val="0"/>
          <w:numId w:val="1"/>
        </w:numPr>
        <w:spacing w:after="60"/>
      </w:pPr>
      <w:r>
        <w:rPr>
          <w:color w:val="000000"/>
        </w:rPr>
        <w:t>Public versus private insurance: efficiency and equity rationales</w:t>
      </w:r>
    </w:p>
    <w:p w14:paraId="2C945D01" w14:textId="77777777" w:rsidR="0003392D" w:rsidRDefault="00000000">
      <w:pPr>
        <w:pStyle w:val="Heading3"/>
      </w:pPr>
      <w:r>
        <w:rPr>
          <w:color w:val="000000"/>
        </w:rPr>
        <w:t>Tue Oct 13: NO CLASS — Fall Study Break Day</w:t>
      </w:r>
    </w:p>
    <w:p w14:paraId="52C0A71C" w14:textId="77777777" w:rsidR="0003392D" w:rsidRDefault="00000000">
      <w:pPr>
        <w:pStyle w:val="ListParagraph"/>
        <w:numPr>
          <w:ilvl w:val="0"/>
          <w:numId w:val="1"/>
        </w:numPr>
        <w:spacing w:after="60"/>
      </w:pPr>
      <w:r>
        <w:rPr>
          <w:color w:val="000000"/>
        </w:rPr>
        <w:t>Class rescheduled to Thursday, December 3 (Tuesday schedule in effect).</w:t>
      </w:r>
    </w:p>
    <w:p w14:paraId="43D7BC68" w14:textId="77777777" w:rsidR="0003392D" w:rsidRDefault="00000000">
      <w:pPr>
        <w:pStyle w:val="Heading3"/>
      </w:pPr>
      <w:r>
        <w:rPr>
          <w:color w:val="000000"/>
        </w:rPr>
        <w:t>Thu Oct 15: Health Insurance II — Adverse Selection and Insurance Market Design</w:t>
      </w:r>
    </w:p>
    <w:p w14:paraId="4663B673" w14:textId="77777777" w:rsidR="0003392D" w:rsidRDefault="00000000">
      <w:pPr>
        <w:spacing w:after="60"/>
      </w:pPr>
      <w:r>
        <w:rPr>
          <w:b/>
          <w:bCs/>
          <w:color w:val="000000"/>
        </w:rPr>
        <w:t xml:space="preserve">Reading: </w:t>
      </w:r>
      <w:r>
        <w:rPr>
          <w:color w:val="000000"/>
        </w:rPr>
        <w:t>Bhattacharya Ch. 8</w:t>
      </w:r>
    </w:p>
    <w:p w14:paraId="7A5B3D5B" w14:textId="77777777" w:rsidR="0003392D" w:rsidRDefault="00000000">
      <w:pPr>
        <w:pStyle w:val="ListParagraph"/>
        <w:numPr>
          <w:ilvl w:val="0"/>
          <w:numId w:val="1"/>
        </w:numPr>
        <w:spacing w:after="60"/>
      </w:pPr>
      <w:r>
        <w:rPr>
          <w:color w:val="000000"/>
        </w:rPr>
        <w:t>Private information, risk types, and selection into insurance</w:t>
      </w:r>
    </w:p>
    <w:p w14:paraId="194DB543" w14:textId="77777777" w:rsidR="0003392D" w:rsidRDefault="00000000">
      <w:pPr>
        <w:pStyle w:val="ListParagraph"/>
        <w:numPr>
          <w:ilvl w:val="0"/>
          <w:numId w:val="1"/>
        </w:numPr>
        <w:spacing w:after="60"/>
      </w:pPr>
      <w:r>
        <w:rPr>
          <w:color w:val="000000"/>
        </w:rPr>
        <w:t>Akerlof's lemons logic and insurance-market unravelling</w:t>
      </w:r>
    </w:p>
    <w:p w14:paraId="552F7FB7" w14:textId="77777777" w:rsidR="0003392D" w:rsidRDefault="00000000">
      <w:pPr>
        <w:pStyle w:val="ListParagraph"/>
        <w:numPr>
          <w:ilvl w:val="0"/>
          <w:numId w:val="1"/>
        </w:numPr>
        <w:spacing w:after="60"/>
      </w:pPr>
      <w:r>
        <w:rPr>
          <w:color w:val="000000"/>
        </w:rPr>
        <w:t>Risk rating, community rating, mandates, subsidies, and risk adjustment</w:t>
      </w:r>
    </w:p>
    <w:p w14:paraId="1A43680C" w14:textId="77777777" w:rsidR="0003392D" w:rsidRDefault="00000000">
      <w:pPr>
        <w:pStyle w:val="ListParagraph"/>
        <w:numPr>
          <w:ilvl w:val="0"/>
          <w:numId w:val="1"/>
        </w:numPr>
        <w:spacing w:after="60"/>
      </w:pPr>
      <w:r>
        <w:rPr>
          <w:color w:val="000000"/>
        </w:rPr>
        <w:t>Public versus private insurance and the rationale for universal coverage</w:t>
      </w:r>
    </w:p>
    <w:p w14:paraId="26FB62A9" w14:textId="77777777" w:rsidR="0003392D" w:rsidRDefault="00000000">
      <w:pPr>
        <w:pStyle w:val="ListParagraph"/>
        <w:numPr>
          <w:ilvl w:val="0"/>
          <w:numId w:val="1"/>
        </w:numPr>
        <w:spacing w:after="60"/>
      </w:pPr>
      <w:r>
        <w:rPr>
          <w:color w:val="000000"/>
        </w:rPr>
        <w:t>Canadian Medicare: coverage boundaries and insurance design</w:t>
      </w:r>
    </w:p>
    <w:p w14:paraId="1504C01E" w14:textId="77777777" w:rsidR="0003392D" w:rsidRDefault="00000000">
      <w:pPr>
        <w:pStyle w:val="ListParagraph"/>
        <w:numPr>
          <w:ilvl w:val="0"/>
          <w:numId w:val="1"/>
        </w:numPr>
        <w:spacing w:after="60"/>
      </w:pPr>
      <w:r>
        <w:rPr>
          <w:color w:val="000000"/>
        </w:rPr>
        <w:t>Pharmacare: universal versus targeted coverage</w:t>
      </w:r>
    </w:p>
    <w:p w14:paraId="724B06C0" w14:textId="77777777" w:rsidR="0003392D" w:rsidRDefault="00000000">
      <w:pPr>
        <w:pStyle w:val="Heading3"/>
      </w:pPr>
      <w:r>
        <w:rPr>
          <w:color w:val="000000"/>
        </w:rPr>
        <w:t>Thu Oct 20: Health Insurance III — Moral Hazard and Cost Sharing</w:t>
      </w:r>
    </w:p>
    <w:p w14:paraId="434EFB5F" w14:textId="77777777" w:rsidR="0003392D" w:rsidRDefault="00000000">
      <w:pPr>
        <w:spacing w:after="60"/>
      </w:pPr>
      <w:r>
        <w:rPr>
          <w:b/>
          <w:bCs/>
          <w:color w:val="000000"/>
        </w:rPr>
        <w:t xml:space="preserve">Reading: </w:t>
      </w:r>
      <w:r>
        <w:rPr>
          <w:color w:val="000000"/>
        </w:rPr>
        <w:t>Bhattacharya Ch. 11</w:t>
      </w:r>
    </w:p>
    <w:p w14:paraId="480E3C82" w14:textId="77777777" w:rsidR="0003392D" w:rsidRDefault="00000000">
      <w:pPr>
        <w:pStyle w:val="ListParagraph"/>
        <w:numPr>
          <w:ilvl w:val="0"/>
          <w:numId w:val="1"/>
        </w:numPr>
        <w:spacing w:after="60"/>
      </w:pPr>
      <w:r>
        <w:rPr>
          <w:color w:val="000000"/>
        </w:rPr>
        <w:t>Ex ante and ex post moral hazard</w:t>
      </w:r>
    </w:p>
    <w:p w14:paraId="65342EA0" w14:textId="77777777" w:rsidR="0003392D" w:rsidRDefault="00000000">
      <w:pPr>
        <w:pStyle w:val="ListParagraph"/>
        <w:numPr>
          <w:ilvl w:val="0"/>
          <w:numId w:val="1"/>
        </w:numPr>
        <w:spacing w:after="60"/>
      </w:pPr>
      <w:r>
        <w:rPr>
          <w:color w:val="000000"/>
        </w:rPr>
        <w:t>Why insurance changes the price of care at the point of use</w:t>
      </w:r>
    </w:p>
    <w:p w14:paraId="1DEDA371" w14:textId="77777777" w:rsidR="0003392D" w:rsidRDefault="00000000">
      <w:pPr>
        <w:pStyle w:val="ListParagraph"/>
        <w:numPr>
          <w:ilvl w:val="0"/>
          <w:numId w:val="1"/>
        </w:numPr>
        <w:spacing w:after="60"/>
      </w:pPr>
      <w:r>
        <w:rPr>
          <w:color w:val="000000"/>
        </w:rPr>
        <w:t>Deductibles, copayments, coinsurance, and optimal insurance design</w:t>
      </w:r>
    </w:p>
    <w:p w14:paraId="40A3EE6F" w14:textId="77777777" w:rsidR="0003392D" w:rsidRDefault="00000000">
      <w:pPr>
        <w:pStyle w:val="ListParagraph"/>
        <w:numPr>
          <w:ilvl w:val="0"/>
          <w:numId w:val="1"/>
        </w:numPr>
        <w:spacing w:after="60"/>
      </w:pPr>
      <w:r>
        <w:rPr>
          <w:color w:val="000000"/>
        </w:rPr>
        <w:t>The RAND Health Insurance Experiment: design, findings, and limitations</w:t>
      </w:r>
    </w:p>
    <w:p w14:paraId="6BFEDDA1" w14:textId="77777777" w:rsidR="0003392D" w:rsidRDefault="00000000">
      <w:pPr>
        <w:pStyle w:val="Heading2"/>
      </w:pPr>
      <w:r>
        <w:t>Module 3 — Healthcare Provider Economics</w:t>
      </w:r>
    </w:p>
    <w:p w14:paraId="2B896A5E" w14:textId="77777777" w:rsidR="0003392D" w:rsidRDefault="00000000">
      <w:pPr>
        <w:pStyle w:val="Heading3"/>
      </w:pPr>
      <w:r>
        <w:rPr>
          <w:color w:val="000000"/>
        </w:rPr>
        <w:t>Thu Oct 22: Physician Agency and Supplier-Induced Demand</w:t>
      </w:r>
    </w:p>
    <w:p w14:paraId="51C25BCF" w14:textId="77777777" w:rsidR="0003392D" w:rsidRDefault="00000000">
      <w:pPr>
        <w:spacing w:after="60"/>
      </w:pPr>
      <w:r>
        <w:rPr>
          <w:b/>
          <w:bCs/>
          <w:color w:val="000000"/>
        </w:rPr>
        <w:t xml:space="preserve">Reading: </w:t>
      </w:r>
      <w:r>
        <w:rPr>
          <w:color w:val="000000"/>
        </w:rPr>
        <w:t>Bhattacharya Ch. 5</w:t>
      </w:r>
    </w:p>
    <w:p w14:paraId="2848EEDD" w14:textId="77777777" w:rsidR="0003392D" w:rsidRDefault="00000000">
      <w:pPr>
        <w:pStyle w:val="ListParagraph"/>
        <w:numPr>
          <w:ilvl w:val="0"/>
          <w:numId w:val="1"/>
        </w:numPr>
        <w:spacing w:after="60"/>
      </w:pPr>
      <w:r>
        <w:rPr>
          <w:color w:val="000000"/>
        </w:rPr>
        <w:t>Information asymmetry and the physician as agent</w:t>
      </w:r>
    </w:p>
    <w:p w14:paraId="110065E3" w14:textId="77777777" w:rsidR="0003392D" w:rsidRDefault="00000000">
      <w:pPr>
        <w:pStyle w:val="ListParagraph"/>
        <w:numPr>
          <w:ilvl w:val="0"/>
          <w:numId w:val="1"/>
        </w:numPr>
        <w:spacing w:after="60"/>
      </w:pPr>
      <w:r>
        <w:rPr>
          <w:color w:val="000000"/>
        </w:rPr>
        <w:t>Principal-agent problems in healthcare</w:t>
      </w:r>
    </w:p>
    <w:p w14:paraId="57516186" w14:textId="77777777" w:rsidR="0003392D" w:rsidRDefault="00000000">
      <w:pPr>
        <w:pStyle w:val="ListParagraph"/>
        <w:numPr>
          <w:ilvl w:val="0"/>
          <w:numId w:val="1"/>
        </w:numPr>
        <w:spacing w:after="60"/>
      </w:pPr>
      <w:r>
        <w:rPr>
          <w:color w:val="000000"/>
        </w:rPr>
        <w:t>Supplier-induced demand: theory and empirical evidence</w:t>
      </w:r>
    </w:p>
    <w:p w14:paraId="68172406" w14:textId="77777777" w:rsidR="0003392D" w:rsidRDefault="00000000">
      <w:pPr>
        <w:pStyle w:val="ListParagraph"/>
        <w:numPr>
          <w:ilvl w:val="0"/>
          <w:numId w:val="1"/>
        </w:numPr>
        <w:spacing w:after="60"/>
      </w:pPr>
      <w:r>
        <w:rPr>
          <w:color w:val="000000"/>
        </w:rPr>
        <w:t>Professional norms, patient preferences, and financial incentives</w:t>
      </w:r>
    </w:p>
    <w:p w14:paraId="5ACDEBEB" w14:textId="77777777" w:rsidR="0003392D" w:rsidRDefault="00000000">
      <w:pPr>
        <w:pStyle w:val="Heading3"/>
      </w:pPr>
      <w:r>
        <w:rPr>
          <w:color w:val="000000"/>
        </w:rPr>
        <w:t>Tue Oct 27: Physician Labour Markets, Payment, and Primary Care</w:t>
      </w:r>
    </w:p>
    <w:p w14:paraId="28E08C3C" w14:textId="77777777" w:rsidR="0003392D" w:rsidRDefault="00000000">
      <w:pPr>
        <w:spacing w:after="60"/>
      </w:pPr>
      <w:r>
        <w:rPr>
          <w:b/>
          <w:bCs/>
          <w:color w:val="000000"/>
        </w:rPr>
        <w:t xml:space="preserve">Reading: </w:t>
      </w:r>
      <w:r>
        <w:rPr>
          <w:color w:val="000000"/>
        </w:rPr>
        <w:t>Bhattacharya Ch. 5</w:t>
      </w:r>
    </w:p>
    <w:p w14:paraId="4970A8EC" w14:textId="77777777" w:rsidR="0003392D" w:rsidRDefault="00000000">
      <w:pPr>
        <w:pStyle w:val="ListParagraph"/>
        <w:numPr>
          <w:ilvl w:val="0"/>
          <w:numId w:val="1"/>
        </w:numPr>
        <w:spacing w:after="60"/>
      </w:pPr>
      <w:r>
        <w:rPr>
          <w:color w:val="000000"/>
        </w:rPr>
        <w:t>Physician supply, labour-market incentives, and geographic maldistribution</w:t>
      </w:r>
    </w:p>
    <w:p w14:paraId="020D3862" w14:textId="77777777" w:rsidR="0003392D" w:rsidRDefault="00000000">
      <w:pPr>
        <w:pStyle w:val="ListParagraph"/>
        <w:numPr>
          <w:ilvl w:val="0"/>
          <w:numId w:val="1"/>
        </w:numPr>
        <w:spacing w:after="60"/>
      </w:pPr>
      <w:r>
        <w:rPr>
          <w:color w:val="000000"/>
        </w:rPr>
        <w:t>Licensing, barriers to entry, and workforce planning</w:t>
      </w:r>
    </w:p>
    <w:p w14:paraId="5038C87D" w14:textId="77777777" w:rsidR="0003392D" w:rsidRDefault="00000000">
      <w:pPr>
        <w:pStyle w:val="ListParagraph"/>
        <w:numPr>
          <w:ilvl w:val="0"/>
          <w:numId w:val="1"/>
        </w:numPr>
        <w:spacing w:after="60"/>
      </w:pPr>
      <w:r>
        <w:rPr>
          <w:color w:val="000000"/>
        </w:rPr>
        <w:t>Fee-for-service, capitation, salary, and blended payment</w:t>
      </w:r>
    </w:p>
    <w:p w14:paraId="2D7048CB" w14:textId="77777777" w:rsidR="0003392D" w:rsidRDefault="00000000">
      <w:pPr>
        <w:pStyle w:val="ListParagraph"/>
        <w:numPr>
          <w:ilvl w:val="0"/>
          <w:numId w:val="1"/>
        </w:numPr>
        <w:spacing w:after="60"/>
      </w:pPr>
      <w:r>
        <w:rPr>
          <w:color w:val="000000"/>
        </w:rPr>
        <w:t>How payment affects volume, quality, selection, and prevention</w:t>
      </w:r>
    </w:p>
    <w:p w14:paraId="47A55502" w14:textId="77777777" w:rsidR="0003392D" w:rsidRDefault="00000000">
      <w:pPr>
        <w:pStyle w:val="ListParagraph"/>
        <w:numPr>
          <w:ilvl w:val="0"/>
          <w:numId w:val="1"/>
        </w:numPr>
        <w:spacing w:after="60"/>
      </w:pPr>
      <w:r>
        <w:rPr>
          <w:color w:val="000000"/>
        </w:rPr>
        <w:t>Team-based care, nurse practitioners, pharmacists, and scope-of-practice reform in Canada</w:t>
      </w:r>
    </w:p>
    <w:p w14:paraId="2CBB0F96" w14:textId="77777777" w:rsidR="0003392D" w:rsidRDefault="00000000">
      <w:pPr>
        <w:pStyle w:val="Heading3"/>
      </w:pPr>
      <w:r>
        <w:rPr>
          <w:color w:val="000000"/>
        </w:rPr>
        <w:t>Thu Oct 29: MIDTERM EXAM</w:t>
      </w:r>
    </w:p>
    <w:p w14:paraId="1F51A983" w14:textId="13877C23" w:rsidR="0003392D" w:rsidRDefault="00000000">
      <w:pPr>
        <w:pStyle w:val="ListParagraph"/>
        <w:numPr>
          <w:ilvl w:val="0"/>
          <w:numId w:val="1"/>
        </w:numPr>
        <w:spacing w:after="60"/>
      </w:pPr>
      <w:r>
        <w:rPr>
          <w:color w:val="000000"/>
        </w:rPr>
        <w:t>In-class, closed-book examination covering material through</w:t>
      </w:r>
      <w:r w:rsidR="008F5E50">
        <w:t xml:space="preserve"> the </w:t>
      </w:r>
      <w:r w:rsidR="008F5E50">
        <w:rPr>
          <w:rStyle w:val="Strong"/>
        </w:rPr>
        <w:t>October 22 lecture (Physician Agency and Supplier-Induced Demand).</w:t>
      </w:r>
      <w:r w:rsidR="008F5E50">
        <w:t xml:space="preserve"> </w:t>
      </w:r>
    </w:p>
    <w:p w14:paraId="3D262F21" w14:textId="77777777" w:rsidR="0003392D" w:rsidRDefault="00000000">
      <w:pPr>
        <w:pStyle w:val="Heading3"/>
      </w:pPr>
      <w:r>
        <w:rPr>
          <w:color w:val="000000"/>
        </w:rPr>
        <w:t>Tue Nov 3: Hospital Behaviour, Competition, and Payment</w:t>
      </w:r>
    </w:p>
    <w:p w14:paraId="7CEAD78E" w14:textId="77777777" w:rsidR="0003392D" w:rsidRDefault="00000000">
      <w:pPr>
        <w:spacing w:after="60"/>
      </w:pPr>
      <w:r>
        <w:rPr>
          <w:b/>
          <w:bCs/>
          <w:color w:val="000000"/>
        </w:rPr>
        <w:t xml:space="preserve">Reading: </w:t>
      </w:r>
      <w:r>
        <w:rPr>
          <w:color w:val="000000"/>
        </w:rPr>
        <w:t>Bhattacharya Ch. 6</w:t>
      </w:r>
    </w:p>
    <w:p w14:paraId="585C693B" w14:textId="77777777" w:rsidR="0003392D" w:rsidRDefault="00000000">
      <w:pPr>
        <w:pStyle w:val="ListParagraph"/>
        <w:numPr>
          <w:ilvl w:val="0"/>
          <w:numId w:val="1"/>
        </w:numPr>
        <w:spacing w:after="60"/>
      </w:pPr>
      <w:r>
        <w:rPr>
          <w:color w:val="000000"/>
        </w:rPr>
        <w:lastRenderedPageBreak/>
        <w:t>Hospital objectives: public, nonprofit, and for-profit institutions</w:t>
      </w:r>
    </w:p>
    <w:p w14:paraId="6C3DE601" w14:textId="77777777" w:rsidR="0003392D" w:rsidRDefault="00000000">
      <w:pPr>
        <w:pStyle w:val="ListParagraph"/>
        <w:numPr>
          <w:ilvl w:val="0"/>
          <w:numId w:val="1"/>
        </w:numPr>
        <w:spacing w:after="60"/>
      </w:pPr>
      <w:r>
        <w:rPr>
          <w:color w:val="000000"/>
        </w:rPr>
        <w:t>Global budgets, activity-based funding, and diagnosis-related payment</w:t>
      </w:r>
    </w:p>
    <w:p w14:paraId="1DADB1F2" w14:textId="77777777" w:rsidR="0003392D" w:rsidRDefault="00000000">
      <w:pPr>
        <w:pStyle w:val="ListParagraph"/>
        <w:numPr>
          <w:ilvl w:val="0"/>
          <w:numId w:val="1"/>
        </w:numPr>
        <w:spacing w:after="60"/>
      </w:pPr>
      <w:r>
        <w:rPr>
          <w:color w:val="000000"/>
        </w:rPr>
        <w:t>Provider responses: upcoding, cream-skimming, discharge, and readmission incentives</w:t>
      </w:r>
    </w:p>
    <w:p w14:paraId="2B9054E0" w14:textId="77777777" w:rsidR="0003392D" w:rsidRDefault="00000000">
      <w:pPr>
        <w:pStyle w:val="ListParagraph"/>
        <w:numPr>
          <w:ilvl w:val="0"/>
          <w:numId w:val="1"/>
        </w:numPr>
        <w:spacing w:after="60"/>
      </w:pPr>
      <w:r>
        <w:rPr>
          <w:color w:val="000000"/>
        </w:rPr>
        <w:t>Hospital competition, quality, and capacity</w:t>
      </w:r>
    </w:p>
    <w:p w14:paraId="5B14E58C" w14:textId="77777777" w:rsidR="0003392D" w:rsidRDefault="00000000">
      <w:pPr>
        <w:pStyle w:val="ListParagraph"/>
        <w:numPr>
          <w:ilvl w:val="0"/>
          <w:numId w:val="1"/>
        </w:numPr>
        <w:spacing w:after="60"/>
      </w:pPr>
      <w:r>
        <w:rPr>
          <w:color w:val="000000"/>
        </w:rPr>
        <w:t>Hospital economics in Canada: funding models and wait-time management</w:t>
      </w:r>
    </w:p>
    <w:p w14:paraId="4BB71356" w14:textId="77777777" w:rsidR="0003392D" w:rsidRDefault="00000000">
      <w:pPr>
        <w:pStyle w:val="Heading2"/>
      </w:pPr>
      <w:r>
        <w:t>Module 4 — Pharmaceutical Economics and Healthcare Costs</w:t>
      </w:r>
    </w:p>
    <w:p w14:paraId="496D9E29" w14:textId="77777777" w:rsidR="0003392D" w:rsidRDefault="00000000">
      <w:pPr>
        <w:pStyle w:val="Heading3"/>
      </w:pPr>
      <w:r>
        <w:rPr>
          <w:color w:val="000000"/>
        </w:rPr>
        <w:t>Thu Nov 5: Pharmaceutical Economics — Innovation, Patents, and Pricing</w:t>
      </w:r>
    </w:p>
    <w:p w14:paraId="0D597585" w14:textId="77777777" w:rsidR="0003392D" w:rsidRDefault="00000000">
      <w:pPr>
        <w:spacing w:after="60"/>
      </w:pPr>
      <w:r>
        <w:rPr>
          <w:b/>
          <w:bCs/>
          <w:color w:val="000000"/>
        </w:rPr>
        <w:t xml:space="preserve">Reading: </w:t>
      </w:r>
      <w:r>
        <w:rPr>
          <w:color w:val="000000"/>
        </w:rPr>
        <w:t>Bhattacharya Ch. 12</w:t>
      </w:r>
    </w:p>
    <w:p w14:paraId="3BFE3500" w14:textId="77777777" w:rsidR="0003392D" w:rsidRDefault="00000000">
      <w:pPr>
        <w:pStyle w:val="ListParagraph"/>
        <w:numPr>
          <w:ilvl w:val="0"/>
          <w:numId w:val="1"/>
        </w:numPr>
        <w:spacing w:after="60"/>
      </w:pPr>
      <w:r>
        <w:rPr>
          <w:color w:val="000000"/>
        </w:rPr>
        <w:t>Drug development, uncertainty, and incentives for innovation</w:t>
      </w:r>
    </w:p>
    <w:p w14:paraId="224417FE" w14:textId="77777777" w:rsidR="0003392D" w:rsidRDefault="00000000">
      <w:pPr>
        <w:pStyle w:val="ListParagraph"/>
        <w:numPr>
          <w:ilvl w:val="0"/>
          <w:numId w:val="1"/>
        </w:numPr>
        <w:spacing w:after="60"/>
      </w:pPr>
      <w:r>
        <w:rPr>
          <w:color w:val="000000"/>
        </w:rPr>
        <w:t>Patents and the innovation-access trade-off</w:t>
      </w:r>
    </w:p>
    <w:p w14:paraId="295940B2" w14:textId="77777777" w:rsidR="0003392D" w:rsidRDefault="00000000">
      <w:pPr>
        <w:pStyle w:val="ListParagraph"/>
        <w:numPr>
          <w:ilvl w:val="0"/>
          <w:numId w:val="1"/>
        </w:numPr>
        <w:spacing w:after="60"/>
      </w:pPr>
      <w:r>
        <w:rPr>
          <w:color w:val="000000"/>
        </w:rPr>
        <w:t>Market power, price discrimination, bargaining, and regulation</w:t>
      </w:r>
    </w:p>
    <w:p w14:paraId="6013A2D6" w14:textId="77777777" w:rsidR="0003392D" w:rsidRDefault="00000000">
      <w:pPr>
        <w:pStyle w:val="ListParagraph"/>
        <w:numPr>
          <w:ilvl w:val="0"/>
          <w:numId w:val="1"/>
        </w:numPr>
        <w:spacing w:after="60"/>
      </w:pPr>
      <w:r>
        <w:rPr>
          <w:color w:val="000000"/>
        </w:rPr>
        <w:t>Generic entry, biosimilars, and competition after exclusivity</w:t>
      </w:r>
    </w:p>
    <w:p w14:paraId="6C5AD218" w14:textId="77777777" w:rsidR="0003392D" w:rsidRDefault="00000000">
      <w:pPr>
        <w:pStyle w:val="Heading3"/>
      </w:pPr>
      <w:r>
        <w:rPr>
          <w:color w:val="000000"/>
        </w:rPr>
        <w:t>Tue Nov 10: Canadian Drug Policy and Pharmacare</w:t>
      </w:r>
    </w:p>
    <w:p w14:paraId="733AC133" w14:textId="77777777" w:rsidR="0003392D" w:rsidRDefault="00000000">
      <w:pPr>
        <w:spacing w:after="60"/>
      </w:pPr>
      <w:r>
        <w:rPr>
          <w:b/>
          <w:bCs/>
          <w:color w:val="000000"/>
        </w:rPr>
        <w:t xml:space="preserve">Reading: </w:t>
      </w:r>
      <w:r>
        <w:rPr>
          <w:color w:val="000000"/>
        </w:rPr>
        <w:t>Course notes + Canadian policy readings</w:t>
      </w:r>
    </w:p>
    <w:p w14:paraId="3012C3AE" w14:textId="77777777" w:rsidR="0003392D" w:rsidRDefault="00000000">
      <w:pPr>
        <w:pStyle w:val="ListParagraph"/>
        <w:numPr>
          <w:ilvl w:val="0"/>
          <w:numId w:val="1"/>
        </w:numPr>
        <w:spacing w:after="60"/>
      </w:pPr>
      <w:r>
        <w:rPr>
          <w:color w:val="000000"/>
        </w:rPr>
        <w:t>Drug regulation, pricing, reimbursement, and federal-provincial roles</w:t>
      </w:r>
    </w:p>
    <w:p w14:paraId="5AE9B151" w14:textId="77777777" w:rsidR="0003392D" w:rsidRDefault="00000000">
      <w:pPr>
        <w:pStyle w:val="ListParagraph"/>
        <w:numPr>
          <w:ilvl w:val="0"/>
          <w:numId w:val="1"/>
        </w:numPr>
        <w:spacing w:after="60"/>
      </w:pPr>
      <w:r>
        <w:rPr>
          <w:color w:val="000000"/>
        </w:rPr>
        <w:t>PMPRB, public drug plans, and price negotiation</w:t>
      </w:r>
    </w:p>
    <w:p w14:paraId="524458BA" w14:textId="77777777" w:rsidR="0003392D" w:rsidRDefault="00000000">
      <w:pPr>
        <w:pStyle w:val="ListParagraph"/>
        <w:numPr>
          <w:ilvl w:val="0"/>
          <w:numId w:val="1"/>
        </w:numPr>
        <w:spacing w:after="60"/>
      </w:pPr>
      <w:r>
        <w:rPr>
          <w:color w:val="000000"/>
        </w:rPr>
        <w:t>National pharmacare: economic rationales and design choices</w:t>
      </w:r>
    </w:p>
    <w:p w14:paraId="230CAB6B" w14:textId="77777777" w:rsidR="0003392D" w:rsidRDefault="00000000">
      <w:pPr>
        <w:pStyle w:val="ListParagraph"/>
        <w:numPr>
          <w:ilvl w:val="0"/>
          <w:numId w:val="1"/>
        </w:numPr>
        <w:spacing w:after="60"/>
      </w:pPr>
      <w:r>
        <w:rPr>
          <w:color w:val="000000"/>
        </w:rPr>
        <w:t>GLP-1 medicines as a running case: affordability, insurance, generic entry, and coverage</w:t>
      </w:r>
    </w:p>
    <w:p w14:paraId="3818E52A" w14:textId="77777777" w:rsidR="0003392D" w:rsidRDefault="00000000">
      <w:pPr>
        <w:pStyle w:val="Heading3"/>
      </w:pPr>
      <w:r>
        <w:rPr>
          <w:color w:val="000000"/>
        </w:rPr>
        <w:t>Thu Nov 12: Technology, Innovation, and Why Healthcare Costs Rise</w:t>
      </w:r>
    </w:p>
    <w:p w14:paraId="2E1C4610" w14:textId="77777777" w:rsidR="0003392D" w:rsidRDefault="00000000">
      <w:pPr>
        <w:spacing w:after="60"/>
      </w:pPr>
      <w:r>
        <w:rPr>
          <w:b/>
          <w:bCs/>
          <w:color w:val="000000"/>
        </w:rPr>
        <w:t xml:space="preserve">Reading: </w:t>
      </w:r>
      <w:r>
        <w:rPr>
          <w:color w:val="000000"/>
        </w:rPr>
        <w:t>Bhattacharya Ch. 13</w:t>
      </w:r>
    </w:p>
    <w:p w14:paraId="0DB8AA6F" w14:textId="77777777" w:rsidR="0003392D" w:rsidRDefault="00000000">
      <w:pPr>
        <w:pStyle w:val="ListParagraph"/>
        <w:numPr>
          <w:ilvl w:val="0"/>
          <w:numId w:val="1"/>
        </w:numPr>
        <w:spacing w:after="60"/>
      </w:pPr>
      <w:r>
        <w:rPr>
          <w:color w:val="000000"/>
        </w:rPr>
        <w:t>What drives healthcare spending? Technology, prices, utilization, demographics, and chronic disease</w:t>
      </w:r>
    </w:p>
    <w:p w14:paraId="006F16E8" w14:textId="77777777" w:rsidR="0003392D" w:rsidRDefault="00000000">
      <w:pPr>
        <w:pStyle w:val="ListParagraph"/>
        <w:numPr>
          <w:ilvl w:val="0"/>
          <w:numId w:val="1"/>
        </w:numPr>
        <w:spacing w:after="60"/>
      </w:pPr>
      <w:r>
        <w:rPr>
          <w:color w:val="000000"/>
        </w:rPr>
        <w:t>Medical technology as a major driver of healthcare spending growth</w:t>
      </w:r>
    </w:p>
    <w:p w14:paraId="40CE66B2" w14:textId="77777777" w:rsidR="0003392D" w:rsidRDefault="00000000">
      <w:pPr>
        <w:pStyle w:val="ListParagraph"/>
        <w:numPr>
          <w:ilvl w:val="0"/>
          <w:numId w:val="1"/>
        </w:numPr>
        <w:spacing w:after="60"/>
      </w:pPr>
      <w:r>
        <w:rPr>
          <w:color w:val="000000"/>
        </w:rPr>
        <w:t>Why aging alone does not explain long-run healthcare expenditure growth</w:t>
      </w:r>
    </w:p>
    <w:p w14:paraId="49469F25" w14:textId="77777777" w:rsidR="0003392D" w:rsidRDefault="00000000">
      <w:pPr>
        <w:pStyle w:val="ListParagraph"/>
        <w:numPr>
          <w:ilvl w:val="0"/>
          <w:numId w:val="1"/>
        </w:numPr>
        <w:spacing w:after="60"/>
      </w:pPr>
      <w:r>
        <w:rPr>
          <w:color w:val="000000"/>
        </w:rPr>
        <w:t>Why cost-effective technologies can still increase total spending</w:t>
      </w:r>
    </w:p>
    <w:p w14:paraId="355423A3" w14:textId="77777777" w:rsidR="0003392D" w:rsidRDefault="00000000">
      <w:pPr>
        <w:pStyle w:val="ListParagraph"/>
        <w:numPr>
          <w:ilvl w:val="0"/>
          <w:numId w:val="1"/>
        </w:numPr>
        <w:spacing w:after="60"/>
      </w:pPr>
      <w:r>
        <w:rPr>
          <w:color w:val="000000"/>
        </w:rPr>
        <w:t>Diffusion of new technology and induced utilization</w:t>
      </w:r>
    </w:p>
    <w:p w14:paraId="77E7EBD8" w14:textId="77777777" w:rsidR="0003392D" w:rsidRDefault="00000000">
      <w:pPr>
        <w:pStyle w:val="ListParagraph"/>
        <w:numPr>
          <w:ilvl w:val="0"/>
          <w:numId w:val="1"/>
        </w:numPr>
        <w:spacing w:after="60"/>
      </w:pPr>
      <w:r>
        <w:rPr>
          <w:color w:val="000000"/>
        </w:rPr>
        <w:t>Baumol's cost disease and labour-intensive healthcare</w:t>
      </w:r>
    </w:p>
    <w:p w14:paraId="174FB030" w14:textId="77777777" w:rsidR="0003392D" w:rsidRDefault="00000000">
      <w:pPr>
        <w:pStyle w:val="ListParagraph"/>
        <w:numPr>
          <w:ilvl w:val="0"/>
          <w:numId w:val="1"/>
        </w:numPr>
        <w:spacing w:after="60"/>
      </w:pPr>
      <w:r>
        <w:rPr>
          <w:color w:val="000000"/>
        </w:rPr>
        <w:t>AI and digital health: productivity, substitution, and expanded utilization</w:t>
      </w:r>
    </w:p>
    <w:p w14:paraId="6726D882" w14:textId="77777777" w:rsidR="0003392D" w:rsidRDefault="00000000">
      <w:pPr>
        <w:pStyle w:val="Heading2"/>
      </w:pPr>
      <w:r>
        <w:t>Module 5 — Cost-Effectiveness Analysis and Health Technology Assessment</w:t>
      </w:r>
    </w:p>
    <w:p w14:paraId="584CE079" w14:textId="77777777" w:rsidR="0003392D" w:rsidRDefault="00000000">
      <w:pPr>
        <w:spacing w:after="120"/>
      </w:pPr>
      <w:r>
        <w:rPr>
          <w:color w:val="000000"/>
        </w:rPr>
        <w:t>Reading for module: Course notes + CADTH guidance</w:t>
      </w:r>
    </w:p>
    <w:p w14:paraId="184C555B" w14:textId="77777777" w:rsidR="0003392D" w:rsidRDefault="00000000">
      <w:pPr>
        <w:pStyle w:val="Heading3"/>
      </w:pPr>
      <w:r>
        <w:rPr>
          <w:color w:val="000000"/>
        </w:rPr>
        <w:t>Tue Nov 17: Economic Evaluation I — Foundations, Costs, and QALYs</w:t>
      </w:r>
    </w:p>
    <w:p w14:paraId="43733DE7" w14:textId="77777777" w:rsidR="0003392D" w:rsidRDefault="00000000">
      <w:pPr>
        <w:spacing w:after="60"/>
      </w:pPr>
      <w:r>
        <w:rPr>
          <w:b/>
          <w:bCs/>
          <w:color w:val="000000"/>
        </w:rPr>
        <w:t xml:space="preserve">Reading: </w:t>
      </w:r>
      <w:r>
        <w:rPr>
          <w:color w:val="000000"/>
        </w:rPr>
        <w:t>Course notes</w:t>
      </w:r>
    </w:p>
    <w:p w14:paraId="371AA973" w14:textId="77777777" w:rsidR="0003392D" w:rsidRDefault="00000000">
      <w:pPr>
        <w:pStyle w:val="ListParagraph"/>
        <w:numPr>
          <w:ilvl w:val="0"/>
          <w:numId w:val="1"/>
        </w:numPr>
        <w:spacing w:after="60"/>
      </w:pPr>
      <w:r>
        <w:rPr>
          <w:color w:val="000000"/>
        </w:rPr>
        <w:t>Why economic evaluation? Scarcity, opportunity cost, and the need to compare value</w:t>
      </w:r>
    </w:p>
    <w:p w14:paraId="14E37526" w14:textId="77777777" w:rsidR="0003392D" w:rsidRDefault="00000000">
      <w:pPr>
        <w:pStyle w:val="ListParagraph"/>
        <w:numPr>
          <w:ilvl w:val="0"/>
          <w:numId w:val="1"/>
        </w:numPr>
        <w:spacing w:after="60"/>
      </w:pPr>
      <w:r>
        <w:rPr>
          <w:color w:val="000000"/>
        </w:rPr>
        <w:t>Cost-effectiveness, cost-utility, cost-benefit, and cost-minimization analysis</w:t>
      </w:r>
    </w:p>
    <w:p w14:paraId="7511FA82" w14:textId="77777777" w:rsidR="0003392D" w:rsidRDefault="00000000">
      <w:pPr>
        <w:pStyle w:val="ListParagraph"/>
        <w:numPr>
          <w:ilvl w:val="0"/>
          <w:numId w:val="1"/>
        </w:numPr>
        <w:spacing w:after="60"/>
      </w:pPr>
      <w:r>
        <w:rPr>
          <w:color w:val="000000"/>
        </w:rPr>
        <w:t>Defining perspective, comparators, time horizon, and relevant costs</w:t>
      </w:r>
    </w:p>
    <w:p w14:paraId="4DC446E9" w14:textId="77777777" w:rsidR="0003392D" w:rsidRDefault="00000000">
      <w:pPr>
        <w:pStyle w:val="ListParagraph"/>
        <w:numPr>
          <w:ilvl w:val="0"/>
          <w:numId w:val="1"/>
        </w:numPr>
        <w:spacing w:after="60"/>
      </w:pPr>
      <w:r>
        <w:rPr>
          <w:color w:val="000000"/>
        </w:rPr>
        <w:t>QALYs: combining length and quality of life</w:t>
      </w:r>
    </w:p>
    <w:p w14:paraId="7DE131E1" w14:textId="77777777" w:rsidR="0003392D" w:rsidRDefault="00000000">
      <w:pPr>
        <w:pStyle w:val="ListParagraph"/>
        <w:numPr>
          <w:ilvl w:val="0"/>
          <w:numId w:val="1"/>
        </w:numPr>
        <w:spacing w:after="60"/>
      </w:pPr>
      <w:r>
        <w:rPr>
          <w:color w:val="000000"/>
        </w:rPr>
        <w:t>Measuring health-state preferences: EQ-5D, time trade-off, and standard gamble</w:t>
      </w:r>
    </w:p>
    <w:p w14:paraId="434391C1" w14:textId="77777777" w:rsidR="0003392D" w:rsidRDefault="00000000">
      <w:pPr>
        <w:pStyle w:val="ListParagraph"/>
        <w:numPr>
          <w:ilvl w:val="0"/>
          <w:numId w:val="1"/>
        </w:numPr>
        <w:spacing w:after="60"/>
      </w:pPr>
      <w:r>
        <w:rPr>
          <w:color w:val="000000"/>
        </w:rPr>
        <w:lastRenderedPageBreak/>
        <w:t>Discounting costs and health outcomes</w:t>
      </w:r>
    </w:p>
    <w:p w14:paraId="123B6D1C" w14:textId="77777777" w:rsidR="0003392D" w:rsidRDefault="00000000">
      <w:pPr>
        <w:pStyle w:val="Heading3"/>
      </w:pPr>
      <w:r>
        <w:rPr>
          <w:color w:val="000000"/>
        </w:rPr>
        <w:t>Thu Nov 19: Economic Evaluation II — Incremental Analysis, ICERs, and Decision Rules</w:t>
      </w:r>
    </w:p>
    <w:p w14:paraId="0CD59667" w14:textId="77777777" w:rsidR="0003392D" w:rsidRDefault="00000000">
      <w:pPr>
        <w:spacing w:after="60"/>
      </w:pPr>
      <w:r>
        <w:rPr>
          <w:b/>
          <w:bCs/>
          <w:color w:val="000000"/>
        </w:rPr>
        <w:t xml:space="preserve">Reading: </w:t>
      </w:r>
      <w:r>
        <w:rPr>
          <w:color w:val="000000"/>
        </w:rPr>
        <w:t>Course notes</w:t>
      </w:r>
    </w:p>
    <w:p w14:paraId="78F7AEFA" w14:textId="77777777" w:rsidR="0003392D" w:rsidRDefault="00000000">
      <w:pPr>
        <w:pStyle w:val="ListParagraph"/>
        <w:numPr>
          <w:ilvl w:val="0"/>
          <w:numId w:val="1"/>
        </w:numPr>
        <w:spacing w:after="60"/>
      </w:pPr>
      <w:r>
        <w:rPr>
          <w:color w:val="000000"/>
        </w:rPr>
        <w:t>Incremental costs and incremental health effects</w:t>
      </w:r>
    </w:p>
    <w:p w14:paraId="5100AA8D" w14:textId="77777777" w:rsidR="0003392D" w:rsidRDefault="00000000">
      <w:pPr>
        <w:pStyle w:val="ListParagraph"/>
        <w:numPr>
          <w:ilvl w:val="0"/>
          <w:numId w:val="1"/>
        </w:numPr>
        <w:spacing w:after="60"/>
      </w:pPr>
      <w:r>
        <w:rPr>
          <w:color w:val="000000"/>
        </w:rPr>
        <w:t>Dominance and extended dominance</w:t>
      </w:r>
    </w:p>
    <w:p w14:paraId="219BB51F" w14:textId="77777777" w:rsidR="0003392D" w:rsidRDefault="00000000">
      <w:pPr>
        <w:pStyle w:val="ListParagraph"/>
        <w:numPr>
          <w:ilvl w:val="0"/>
          <w:numId w:val="1"/>
        </w:numPr>
        <w:spacing w:after="60"/>
      </w:pPr>
      <w:r>
        <w:rPr>
          <w:color w:val="000000"/>
        </w:rPr>
        <w:t>ICER calculation and interpretation</w:t>
      </w:r>
    </w:p>
    <w:p w14:paraId="6D802E31" w14:textId="77777777" w:rsidR="0003392D" w:rsidRDefault="00000000">
      <w:pPr>
        <w:pStyle w:val="ListParagraph"/>
        <w:numPr>
          <w:ilvl w:val="0"/>
          <w:numId w:val="1"/>
        </w:numPr>
        <w:spacing w:after="60"/>
      </w:pPr>
      <w:r>
        <w:rPr>
          <w:color w:val="000000"/>
        </w:rPr>
        <w:t>The cost-effectiveness plane</w:t>
      </w:r>
    </w:p>
    <w:p w14:paraId="6978F606" w14:textId="77777777" w:rsidR="0003392D" w:rsidRDefault="00000000">
      <w:pPr>
        <w:pStyle w:val="ListParagraph"/>
        <w:numPr>
          <w:ilvl w:val="0"/>
          <w:numId w:val="1"/>
        </w:numPr>
        <w:spacing w:after="60"/>
      </w:pPr>
      <w:r>
        <w:rPr>
          <w:color w:val="000000"/>
        </w:rPr>
        <w:t>Cost-effectiveness thresholds and their opportunity-cost interpretation</w:t>
      </w:r>
    </w:p>
    <w:p w14:paraId="6083377E" w14:textId="77777777" w:rsidR="0003392D" w:rsidRDefault="00000000">
      <w:pPr>
        <w:pStyle w:val="ListParagraph"/>
        <w:numPr>
          <w:ilvl w:val="0"/>
          <w:numId w:val="1"/>
        </w:numPr>
        <w:spacing w:after="60"/>
      </w:pPr>
      <w:r>
        <w:rPr>
          <w:color w:val="000000"/>
        </w:rPr>
        <w:t>From an ICER to a funding decision: what the ICER does — and does not — tell us</w:t>
      </w:r>
    </w:p>
    <w:p w14:paraId="24F4CB85" w14:textId="77777777" w:rsidR="0003392D" w:rsidRDefault="00000000">
      <w:pPr>
        <w:pStyle w:val="Heading3"/>
      </w:pPr>
      <w:r>
        <w:rPr>
          <w:color w:val="000000"/>
        </w:rPr>
        <w:t>Tue Nov 24: Economic Evaluation III — Modelling, Uncertainty, and Real-World CEA</w:t>
      </w:r>
    </w:p>
    <w:p w14:paraId="5E3072A0" w14:textId="77777777" w:rsidR="0003392D" w:rsidRDefault="00000000">
      <w:pPr>
        <w:spacing w:after="60"/>
      </w:pPr>
      <w:r>
        <w:rPr>
          <w:b/>
          <w:bCs/>
          <w:color w:val="000000"/>
        </w:rPr>
        <w:t xml:space="preserve">Reading: </w:t>
      </w:r>
      <w:r>
        <w:rPr>
          <w:color w:val="000000"/>
        </w:rPr>
        <w:t>Course notes</w:t>
      </w:r>
    </w:p>
    <w:p w14:paraId="03AA3EA4" w14:textId="77777777" w:rsidR="0003392D" w:rsidRDefault="00000000">
      <w:pPr>
        <w:pStyle w:val="ListParagraph"/>
        <w:numPr>
          <w:ilvl w:val="0"/>
          <w:numId w:val="1"/>
        </w:numPr>
        <w:spacing w:after="60"/>
      </w:pPr>
      <w:r>
        <w:rPr>
          <w:color w:val="000000"/>
        </w:rPr>
        <w:t>Why models are needed to extrapolate costs and health outcomes</w:t>
      </w:r>
    </w:p>
    <w:p w14:paraId="3531DD3D" w14:textId="77777777" w:rsidR="0003392D" w:rsidRDefault="00000000">
      <w:pPr>
        <w:pStyle w:val="ListParagraph"/>
        <w:numPr>
          <w:ilvl w:val="0"/>
          <w:numId w:val="1"/>
        </w:numPr>
        <w:spacing w:after="60"/>
      </w:pPr>
      <w:r>
        <w:rPr>
          <w:color w:val="000000"/>
        </w:rPr>
        <w:t>Decision trees and Markov models: intuition and interpretation</w:t>
      </w:r>
    </w:p>
    <w:p w14:paraId="550147D3" w14:textId="77777777" w:rsidR="0003392D" w:rsidRDefault="00000000">
      <w:pPr>
        <w:pStyle w:val="ListParagraph"/>
        <w:numPr>
          <w:ilvl w:val="0"/>
          <w:numId w:val="1"/>
        </w:numPr>
        <w:spacing w:after="60"/>
      </w:pPr>
      <w:r>
        <w:rPr>
          <w:color w:val="000000"/>
        </w:rPr>
        <w:t>Parameter, structural, and methodological uncertainty</w:t>
      </w:r>
    </w:p>
    <w:p w14:paraId="2D2D3B40" w14:textId="77777777" w:rsidR="0003392D" w:rsidRDefault="00000000">
      <w:pPr>
        <w:pStyle w:val="ListParagraph"/>
        <w:numPr>
          <w:ilvl w:val="0"/>
          <w:numId w:val="1"/>
        </w:numPr>
        <w:spacing w:after="60"/>
      </w:pPr>
      <w:r>
        <w:rPr>
          <w:color w:val="000000"/>
        </w:rPr>
        <w:t>Deterministic and probabilistic sensitivity analysis</w:t>
      </w:r>
    </w:p>
    <w:p w14:paraId="3B46D8AC" w14:textId="77777777" w:rsidR="0003392D" w:rsidRDefault="00000000">
      <w:pPr>
        <w:pStyle w:val="ListParagraph"/>
        <w:numPr>
          <w:ilvl w:val="0"/>
          <w:numId w:val="1"/>
        </w:numPr>
        <w:spacing w:after="60"/>
      </w:pPr>
      <w:r>
        <w:rPr>
          <w:color w:val="000000"/>
        </w:rPr>
        <w:t>Cost-effectiveness acceptability curves and interpreting uncertainty</w:t>
      </w:r>
    </w:p>
    <w:p w14:paraId="27F310D5" w14:textId="77777777" w:rsidR="0003392D" w:rsidRDefault="00000000">
      <w:pPr>
        <w:pStyle w:val="ListParagraph"/>
        <w:numPr>
          <w:ilvl w:val="0"/>
          <w:numId w:val="1"/>
        </w:numPr>
        <w:spacing w:after="60"/>
      </w:pPr>
      <w:r>
        <w:rPr>
          <w:color w:val="000000"/>
        </w:rPr>
        <w:t>Critical appraisal of a published CEA</w:t>
      </w:r>
    </w:p>
    <w:p w14:paraId="5E138FF9" w14:textId="77777777" w:rsidR="0003392D" w:rsidRDefault="00000000">
      <w:pPr>
        <w:pStyle w:val="Heading3"/>
      </w:pPr>
      <w:r>
        <w:rPr>
          <w:color w:val="000000"/>
        </w:rPr>
        <w:t>Thu Nov 26: Health Technology Assessment and Priority Setting — From Evidence to Coverage</w:t>
      </w:r>
    </w:p>
    <w:p w14:paraId="2F8738F2" w14:textId="77777777" w:rsidR="0003392D" w:rsidRDefault="00000000">
      <w:pPr>
        <w:spacing w:after="60"/>
      </w:pPr>
      <w:r>
        <w:rPr>
          <w:b/>
          <w:bCs/>
          <w:color w:val="000000"/>
        </w:rPr>
        <w:t xml:space="preserve">Reading: </w:t>
      </w:r>
      <w:r>
        <w:rPr>
          <w:color w:val="000000"/>
        </w:rPr>
        <w:t>Course notes + CADTH guidance</w:t>
      </w:r>
    </w:p>
    <w:p w14:paraId="71A06E8F" w14:textId="77777777" w:rsidR="0003392D" w:rsidRDefault="00000000">
      <w:pPr>
        <w:pStyle w:val="ListParagraph"/>
        <w:numPr>
          <w:ilvl w:val="0"/>
          <w:numId w:val="1"/>
        </w:numPr>
        <w:spacing w:after="60"/>
      </w:pPr>
      <w:r>
        <w:rPr>
          <w:color w:val="000000"/>
        </w:rPr>
        <w:t>Why cost-effectiveness alone does not determine coverage</w:t>
      </w:r>
    </w:p>
    <w:p w14:paraId="32BE4B34" w14:textId="77777777" w:rsidR="0003392D" w:rsidRDefault="00000000">
      <w:pPr>
        <w:pStyle w:val="ListParagraph"/>
        <w:numPr>
          <w:ilvl w:val="0"/>
          <w:numId w:val="1"/>
        </w:numPr>
        <w:spacing w:after="60"/>
      </w:pPr>
      <w:r>
        <w:rPr>
          <w:color w:val="000000"/>
        </w:rPr>
        <w:t>How HTA combines clinical evidence, economic evaluation, budget impact, equity, unmet need, and feasibility</w:t>
      </w:r>
    </w:p>
    <w:p w14:paraId="4957C8E8" w14:textId="77777777" w:rsidR="0003392D" w:rsidRDefault="00000000">
      <w:pPr>
        <w:pStyle w:val="ListParagraph"/>
        <w:numPr>
          <w:ilvl w:val="0"/>
          <w:numId w:val="1"/>
        </w:numPr>
        <w:spacing w:after="60"/>
      </w:pPr>
      <w:r>
        <w:rPr>
          <w:color w:val="000000"/>
        </w:rPr>
        <w:t>Canada's Drug Agency/HTA process and the role of economic evidence</w:t>
      </w:r>
    </w:p>
    <w:p w14:paraId="47C33CE7" w14:textId="77777777" w:rsidR="0003392D" w:rsidRDefault="00000000">
      <w:pPr>
        <w:pStyle w:val="ListParagraph"/>
        <w:numPr>
          <w:ilvl w:val="0"/>
          <w:numId w:val="1"/>
        </w:numPr>
        <w:spacing w:after="60"/>
      </w:pPr>
      <w:r>
        <w:rPr>
          <w:color w:val="000000"/>
        </w:rPr>
        <w:t>From HTA recommendation to price negotiation and provincial reimbursement</w:t>
      </w:r>
    </w:p>
    <w:p w14:paraId="280454D8" w14:textId="77777777" w:rsidR="0003392D" w:rsidRDefault="00000000">
      <w:pPr>
        <w:pStyle w:val="ListParagraph"/>
        <w:numPr>
          <w:ilvl w:val="0"/>
          <w:numId w:val="1"/>
        </w:numPr>
        <w:spacing w:after="60"/>
      </w:pPr>
      <w:r>
        <w:rPr>
          <w:color w:val="000000"/>
        </w:rPr>
        <w:t>Priority-setting challenges: rare diseases, high-cost therapies, managed access, and social values</w:t>
      </w:r>
    </w:p>
    <w:p w14:paraId="75A84943" w14:textId="77777777" w:rsidR="0003392D" w:rsidRDefault="00000000">
      <w:pPr>
        <w:pStyle w:val="Heading2"/>
      </w:pPr>
      <w:r>
        <w:t>Module 6 — Health Policy Synthesis</w:t>
      </w:r>
    </w:p>
    <w:p w14:paraId="540F8C9E" w14:textId="77777777" w:rsidR="0003392D" w:rsidRDefault="00000000">
      <w:pPr>
        <w:pStyle w:val="Heading3"/>
      </w:pPr>
      <w:r>
        <w:rPr>
          <w:color w:val="000000"/>
        </w:rPr>
        <w:t>Tue Dec 1: The Health Policy Conundrum — Access, Cost, Quality, and Equity</w:t>
      </w:r>
    </w:p>
    <w:p w14:paraId="73927E35" w14:textId="77777777" w:rsidR="0003392D" w:rsidRDefault="00000000">
      <w:pPr>
        <w:spacing w:after="60"/>
      </w:pPr>
      <w:r>
        <w:rPr>
          <w:b/>
          <w:bCs/>
          <w:color w:val="000000"/>
        </w:rPr>
        <w:t xml:space="preserve">Reading: </w:t>
      </w:r>
      <w:r>
        <w:rPr>
          <w:color w:val="000000"/>
        </w:rPr>
        <w:t>Review previous modules</w:t>
      </w:r>
    </w:p>
    <w:p w14:paraId="5600BE46" w14:textId="77777777" w:rsidR="0003392D" w:rsidRDefault="00000000">
      <w:pPr>
        <w:pStyle w:val="ListParagraph"/>
        <w:numPr>
          <w:ilvl w:val="0"/>
          <w:numId w:val="1"/>
        </w:numPr>
        <w:spacing w:after="60"/>
      </w:pPr>
      <w:r>
        <w:rPr>
          <w:color w:val="000000"/>
        </w:rPr>
        <w:t>Why health policy involves unavoidable trade-offs among access, cost, quality, and equity</w:t>
      </w:r>
    </w:p>
    <w:p w14:paraId="75906967" w14:textId="77777777" w:rsidR="0003392D" w:rsidRDefault="00000000">
      <w:pPr>
        <w:pStyle w:val="ListParagraph"/>
        <w:numPr>
          <w:ilvl w:val="0"/>
          <w:numId w:val="1"/>
        </w:numPr>
        <w:spacing w:after="60"/>
      </w:pPr>
      <w:r>
        <w:rPr>
          <w:color w:val="000000"/>
        </w:rPr>
        <w:t>Applying the Grossman model: healthcare is only one producer of health</w:t>
      </w:r>
    </w:p>
    <w:p w14:paraId="40289CCA" w14:textId="77777777" w:rsidR="0003392D" w:rsidRDefault="00000000">
      <w:pPr>
        <w:pStyle w:val="ListParagraph"/>
        <w:numPr>
          <w:ilvl w:val="0"/>
          <w:numId w:val="1"/>
        </w:numPr>
        <w:spacing w:after="60"/>
      </w:pPr>
      <w:r>
        <w:rPr>
          <w:color w:val="000000"/>
        </w:rPr>
        <w:t>Applying behavioural economics and social determinants: choices, constraints, and policy design</w:t>
      </w:r>
    </w:p>
    <w:p w14:paraId="7113BB56" w14:textId="77777777" w:rsidR="0003392D" w:rsidRDefault="00000000">
      <w:pPr>
        <w:pStyle w:val="ListParagraph"/>
        <w:numPr>
          <w:ilvl w:val="0"/>
          <w:numId w:val="1"/>
        </w:numPr>
        <w:spacing w:after="60"/>
      </w:pPr>
      <w:r>
        <w:rPr>
          <w:color w:val="000000"/>
        </w:rPr>
        <w:t>Applying insurance and information economics: financial protection, moral hazard, and selection</w:t>
      </w:r>
    </w:p>
    <w:p w14:paraId="1D06B6CC" w14:textId="77777777" w:rsidR="0003392D" w:rsidRDefault="00000000">
      <w:pPr>
        <w:pStyle w:val="ListParagraph"/>
        <w:numPr>
          <w:ilvl w:val="0"/>
          <w:numId w:val="1"/>
        </w:numPr>
        <w:spacing w:after="60"/>
      </w:pPr>
      <w:r>
        <w:rPr>
          <w:color w:val="000000"/>
        </w:rPr>
        <w:t>Applying provider economics: payment incentives, workforce, and healthcare costs</w:t>
      </w:r>
    </w:p>
    <w:p w14:paraId="259F80CF" w14:textId="77777777" w:rsidR="0003392D" w:rsidRDefault="00000000">
      <w:pPr>
        <w:pStyle w:val="ListParagraph"/>
        <w:numPr>
          <w:ilvl w:val="0"/>
          <w:numId w:val="1"/>
        </w:numPr>
        <w:spacing w:after="60"/>
      </w:pPr>
      <w:r>
        <w:rPr>
          <w:color w:val="000000"/>
        </w:rPr>
        <w:t>Applying innovation and CEA: how should we pay for valuable but expensive technologies?</w:t>
      </w:r>
    </w:p>
    <w:p w14:paraId="46AECD01" w14:textId="77777777" w:rsidR="0003392D" w:rsidRDefault="00000000">
      <w:pPr>
        <w:pStyle w:val="Heading3"/>
      </w:pPr>
      <w:r>
        <w:rPr>
          <w:color w:val="000000"/>
        </w:rPr>
        <w:t>Thu Dec 3: Final Exam Review (Tuesday makeup schedule)</w:t>
      </w:r>
    </w:p>
    <w:p w14:paraId="3AFB8CAF" w14:textId="77777777" w:rsidR="0003392D" w:rsidRDefault="00000000">
      <w:pPr>
        <w:spacing w:after="60"/>
      </w:pPr>
      <w:r>
        <w:rPr>
          <w:b/>
          <w:bCs/>
          <w:color w:val="000000"/>
        </w:rPr>
        <w:t xml:space="preserve">Reading: </w:t>
      </w:r>
      <w:r>
        <w:rPr>
          <w:color w:val="000000"/>
        </w:rPr>
        <w:t>Review previous modules</w:t>
      </w:r>
    </w:p>
    <w:p w14:paraId="5F50EFF0" w14:textId="77777777" w:rsidR="0003392D" w:rsidRDefault="00000000">
      <w:pPr>
        <w:pStyle w:val="ListParagraph"/>
        <w:numPr>
          <w:ilvl w:val="0"/>
          <w:numId w:val="1"/>
        </w:numPr>
        <w:spacing w:after="60"/>
      </w:pPr>
      <w:r>
        <w:rPr>
          <w:color w:val="000000"/>
        </w:rPr>
        <w:t>Final exam format, scope, and expectations</w:t>
      </w:r>
    </w:p>
    <w:p w14:paraId="3F11A646" w14:textId="77777777" w:rsidR="0003392D" w:rsidRDefault="00000000">
      <w:pPr>
        <w:pStyle w:val="ListParagraph"/>
        <w:numPr>
          <w:ilvl w:val="0"/>
          <w:numId w:val="1"/>
        </w:numPr>
        <w:spacing w:after="60"/>
      </w:pPr>
      <w:r>
        <w:rPr>
          <w:color w:val="000000"/>
        </w:rPr>
        <w:lastRenderedPageBreak/>
        <w:t>Review of core models and concepts across all six modules</w:t>
      </w:r>
    </w:p>
    <w:p w14:paraId="42614DD2" w14:textId="77777777" w:rsidR="0003392D" w:rsidRDefault="00000000">
      <w:pPr>
        <w:pStyle w:val="ListParagraph"/>
        <w:numPr>
          <w:ilvl w:val="0"/>
          <w:numId w:val="1"/>
        </w:numPr>
        <w:spacing w:after="60"/>
      </w:pPr>
      <w:r>
        <w:rPr>
          <w:color w:val="000000"/>
        </w:rPr>
        <w:t>Student questions and targeted review of difficult topics</w:t>
      </w:r>
    </w:p>
    <w:p w14:paraId="29F3467C" w14:textId="77777777" w:rsidR="0003392D" w:rsidRDefault="0003392D">
      <w:pPr>
        <w:spacing w:after="120"/>
      </w:pPr>
    </w:p>
    <w:p w14:paraId="74E3CAAD" w14:textId="77777777" w:rsidR="0003392D" w:rsidRDefault="0003392D">
      <w:pPr>
        <w:pageBreakBefore/>
      </w:pPr>
    </w:p>
    <w:p w14:paraId="61E34190" w14:textId="77777777" w:rsidR="0003392D" w:rsidRDefault="00000000" w:rsidP="00656870">
      <w:pPr>
        <w:pStyle w:val="Heading1"/>
        <w:shd w:val="clear" w:color="auto" w:fill="D9D9D9" w:themeFill="background1" w:themeFillShade="D9"/>
      </w:pPr>
      <w:r>
        <w:t>Course Policies</w:t>
      </w:r>
    </w:p>
    <w:p w14:paraId="299F4D6C" w14:textId="77777777" w:rsidR="00E45B6A" w:rsidRPr="003166E5" w:rsidRDefault="00E45B6A" w:rsidP="00E45B6A">
      <w:pPr>
        <w:pStyle w:val="Heading2"/>
        <w:rPr>
          <w:rFonts w:eastAsia="Calibri"/>
          <w:lang w:val="en-US"/>
        </w:rPr>
      </w:pPr>
      <w:r w:rsidRPr="003166E5">
        <w:rPr>
          <w:rFonts w:eastAsia="Calibri"/>
          <w:lang w:val="en-US"/>
        </w:rPr>
        <w:t>Grading Policies</w:t>
      </w:r>
    </w:p>
    <w:p w14:paraId="5F6A019F" w14:textId="77777777" w:rsidR="00E45B6A" w:rsidRPr="003166E5" w:rsidRDefault="00E45B6A" w:rsidP="00E45B6A">
      <w:pPr>
        <w:jc w:val="both"/>
        <w:rPr>
          <w:lang w:val="en-US"/>
        </w:rPr>
      </w:pPr>
      <w:r w:rsidRPr="003166E5">
        <w:rPr>
          <w:lang w:val="en-US"/>
        </w:rPr>
        <w:t xml:space="preserve">Unless you have discussed an extension well ahead of the due date with the instructor, late penalties of 5% of the total grade earned per day (including weekends) will be assigned to any assessment (i.e. deducted from the total mark). </w:t>
      </w:r>
      <w:r w:rsidRPr="00B53434">
        <w:rPr>
          <w:lang w:val="en-US"/>
        </w:rPr>
        <w:t xml:space="preserve"> Extensions will only be granted </w:t>
      </w:r>
      <w:proofErr w:type="gramStart"/>
      <w:r w:rsidRPr="00B53434">
        <w:rPr>
          <w:lang w:val="en-US"/>
        </w:rPr>
        <w:t>on the basis of</w:t>
      </w:r>
      <w:proofErr w:type="gramEnd"/>
      <w:r w:rsidRPr="00B53434">
        <w:rPr>
          <w:lang w:val="en-US"/>
        </w:rPr>
        <w:t xml:space="preserve"> valid medical or personal </w:t>
      </w:r>
      <w:proofErr w:type="gramStart"/>
      <w:r w:rsidRPr="00B53434">
        <w:rPr>
          <w:lang w:val="en-US"/>
        </w:rPr>
        <w:t>reasons, and</w:t>
      </w:r>
      <w:proofErr w:type="gramEnd"/>
      <w:r w:rsidRPr="00B53434">
        <w:rPr>
          <w:lang w:val="en-US"/>
        </w:rPr>
        <w:t xml:space="preserve"> need to be requested via email to the instructor as soon as possible. </w:t>
      </w:r>
      <w:r w:rsidRPr="003166E5">
        <w:rPr>
          <w:lang w:val="en-US"/>
        </w:rPr>
        <w:t>Late assignments will not be accepted once graded assignments have been returned officially to the class at large, unless circumstances permit and alternative arrangements have been made.</w:t>
      </w:r>
    </w:p>
    <w:p w14:paraId="00CD255B" w14:textId="77777777" w:rsidR="00E45B6A" w:rsidRPr="003166E5" w:rsidRDefault="00E45B6A" w:rsidP="00E45B6A">
      <w:pPr>
        <w:jc w:val="both"/>
        <w:rPr>
          <w:lang w:val="en-US"/>
        </w:rPr>
      </w:pPr>
    </w:p>
    <w:p w14:paraId="591EB972" w14:textId="77777777" w:rsidR="00E45B6A" w:rsidRPr="003166E5" w:rsidRDefault="00E45B6A" w:rsidP="00E45B6A">
      <w:pPr>
        <w:jc w:val="both"/>
        <w:rPr>
          <w:lang w:val="en-US"/>
        </w:rPr>
      </w:pPr>
      <w:r w:rsidRPr="003166E5">
        <w:rPr>
          <w:lang w:val="en-US"/>
        </w:rPr>
        <w:t>Students who find themselves unable to meet course requirements by the deadlines or the criteria expected because of medical or personal reasons, should review the regulations on academic consideration in the Academic Calendar and discuss their situation with the instructor, program counselor or other academic counselor as appropriate.</w:t>
      </w:r>
    </w:p>
    <w:p w14:paraId="0ABD3CC2" w14:textId="77777777" w:rsidR="00E45B6A" w:rsidRPr="003166E5" w:rsidRDefault="00E45B6A" w:rsidP="00E45B6A">
      <w:pPr>
        <w:jc w:val="both"/>
        <w:rPr>
          <w:lang w:val="en-US"/>
        </w:rPr>
      </w:pPr>
    </w:p>
    <w:p w14:paraId="18D0A476" w14:textId="77777777" w:rsidR="00E45B6A" w:rsidRPr="003166E5" w:rsidRDefault="00E45B6A" w:rsidP="00E45B6A">
      <w:pPr>
        <w:jc w:val="both"/>
        <w:rPr>
          <w:lang w:val="en-US"/>
        </w:rPr>
      </w:pPr>
      <w:hyperlink r:id="rId8" w:history="1">
        <w:r w:rsidRPr="003166E5">
          <w:rPr>
            <w:rStyle w:val="Hyperlink"/>
            <w:lang w:val="en-US"/>
          </w:rPr>
          <w:t>http://www.uoguelph.ca/registrar/calendars/undergraduate/current/c08/c08-grds.shtml</w:t>
        </w:r>
      </w:hyperlink>
      <w:r w:rsidRPr="003166E5">
        <w:rPr>
          <w:lang w:val="en-US"/>
        </w:rPr>
        <w:t xml:space="preserve"> </w:t>
      </w:r>
    </w:p>
    <w:p w14:paraId="6AC52EBF" w14:textId="77777777" w:rsidR="00E45B6A" w:rsidRDefault="00E45B6A">
      <w:pPr>
        <w:spacing w:after="120"/>
        <w:rPr>
          <w:color w:val="000000"/>
        </w:rPr>
      </w:pPr>
    </w:p>
    <w:p w14:paraId="35B4F43F" w14:textId="77777777" w:rsidR="0003392D" w:rsidRDefault="00000000">
      <w:pPr>
        <w:pStyle w:val="Heading2"/>
      </w:pPr>
      <w:r>
        <w:t>Missed Assessments</w:t>
      </w:r>
    </w:p>
    <w:p w14:paraId="431D3D2F" w14:textId="77777777" w:rsidR="009E34FC" w:rsidRPr="003166E5" w:rsidRDefault="009E34FC" w:rsidP="009E34FC">
      <w:pPr>
        <w:jc w:val="both"/>
        <w:rPr>
          <w:lang w:val="en-US"/>
        </w:rPr>
      </w:pPr>
      <w:r w:rsidRPr="003166E5">
        <w:rPr>
          <w:lang w:val="en-US"/>
        </w:rPr>
        <w:t>A grade of zero will be assigned if you fail to submit an assignment, unless you are ill or have other compassionate reasons. Please read your Undergraduate Calendar for the regulations regarding illness and compassionate grounds. Please note, vacation travel, moving house, or outside work commitments will not be accepted as valid reasons for missing deadlines.</w:t>
      </w:r>
    </w:p>
    <w:p w14:paraId="53C11C13" w14:textId="77777777" w:rsidR="009E34FC" w:rsidRPr="003166E5" w:rsidRDefault="009E34FC" w:rsidP="009E34FC">
      <w:pPr>
        <w:jc w:val="both"/>
        <w:rPr>
          <w:lang w:val="en-US"/>
        </w:rPr>
      </w:pPr>
    </w:p>
    <w:p w14:paraId="325EE33D" w14:textId="77777777" w:rsidR="009E34FC" w:rsidRPr="003166E5" w:rsidRDefault="009E34FC" w:rsidP="009E34FC">
      <w:pPr>
        <w:jc w:val="both"/>
        <w:rPr>
          <w:lang w:val="en-US"/>
        </w:rPr>
      </w:pPr>
      <w:r w:rsidRPr="003166E5">
        <w:rPr>
          <w:lang w:val="en-US"/>
        </w:rPr>
        <w:t xml:space="preserve">If you have religious observances which conflict with the course schedule or if you are registered with </w:t>
      </w:r>
      <w:r>
        <w:rPr>
          <w:lang w:val="en-US"/>
        </w:rPr>
        <w:t>Student Accessibility Services</w:t>
      </w:r>
      <w:r w:rsidRPr="003166E5">
        <w:rPr>
          <w:lang w:val="en-US"/>
        </w:rPr>
        <w:t xml:space="preserve">, please contact the course instructor </w:t>
      </w:r>
      <w:proofErr w:type="gramStart"/>
      <w:r w:rsidRPr="003166E5">
        <w:rPr>
          <w:lang w:val="en-US"/>
        </w:rPr>
        <w:t>in order to</w:t>
      </w:r>
      <w:proofErr w:type="gramEnd"/>
      <w:r w:rsidRPr="003166E5">
        <w:rPr>
          <w:lang w:val="en-US"/>
        </w:rPr>
        <w:t xml:space="preserve"> </w:t>
      </w:r>
      <w:proofErr w:type="gramStart"/>
      <w:r w:rsidRPr="003166E5">
        <w:rPr>
          <w:lang w:val="en-US"/>
        </w:rPr>
        <w:t>make arrangements</w:t>
      </w:r>
      <w:proofErr w:type="gramEnd"/>
      <w:r w:rsidRPr="003166E5">
        <w:rPr>
          <w:lang w:val="en-US"/>
        </w:rPr>
        <w:t xml:space="preserve"> for your assessment if appropriate.</w:t>
      </w:r>
    </w:p>
    <w:p w14:paraId="6F3BF6CD" w14:textId="77777777" w:rsidR="0003392D" w:rsidRDefault="00000000">
      <w:pPr>
        <w:pStyle w:val="Heading2"/>
      </w:pPr>
      <w:r>
        <w:t>Communication</w:t>
      </w:r>
    </w:p>
    <w:p w14:paraId="6A781673" w14:textId="77777777" w:rsidR="0003392D" w:rsidRDefault="00000000">
      <w:pPr>
        <w:spacing w:after="120"/>
      </w:pPr>
      <w:r>
        <w:rPr>
          <w:color w:val="000000"/>
        </w:rPr>
        <w:t xml:space="preserve">Course announcements are posted on </w:t>
      </w:r>
      <w:proofErr w:type="spellStart"/>
      <w:r>
        <w:rPr>
          <w:color w:val="000000"/>
        </w:rPr>
        <w:t>CourseLink</w:t>
      </w:r>
      <w:proofErr w:type="spellEnd"/>
      <w:r>
        <w:rPr>
          <w:color w:val="000000"/>
        </w:rPr>
        <w:t xml:space="preserve">/D2L. Students are expected to check </w:t>
      </w:r>
      <w:proofErr w:type="spellStart"/>
      <w:r>
        <w:rPr>
          <w:color w:val="000000"/>
        </w:rPr>
        <w:t>CourseLink</w:t>
      </w:r>
      <w:proofErr w:type="spellEnd"/>
      <w:r>
        <w:rPr>
          <w:color w:val="000000"/>
        </w:rPr>
        <w:t xml:space="preserve"> regularly. Please allow 48 hours for email replies during the week. Include your course code and student ID in all emails.</w:t>
      </w:r>
    </w:p>
    <w:p w14:paraId="2DBBE6D5" w14:textId="77777777" w:rsidR="0003392D" w:rsidRDefault="00000000">
      <w:pPr>
        <w:pStyle w:val="Heading1"/>
      </w:pPr>
      <w:r>
        <w:t>University Policies</w:t>
      </w:r>
    </w:p>
    <w:p w14:paraId="1C933673" w14:textId="77777777" w:rsidR="0003392D" w:rsidRDefault="00000000">
      <w:pPr>
        <w:pStyle w:val="Heading2"/>
      </w:pPr>
      <w:r>
        <w:t>Academic Consideration</w:t>
      </w:r>
    </w:p>
    <w:p w14:paraId="5272ACCC" w14:textId="77777777" w:rsidR="00A1145E" w:rsidRDefault="00000000">
      <w:pPr>
        <w:spacing w:after="120"/>
        <w:rPr>
          <w:color w:val="000000"/>
        </w:rPr>
      </w:pPr>
      <w:r>
        <w:rPr>
          <w:color w:val="000000"/>
        </w:rPr>
        <w:t xml:space="preserve">When you find yourself unable to meet an in-course requirement because of illness or compassionate reasons, please advise the course instructor in writing, with your name, student ID, and email contact. See the Academic Calendar for information on regulations and procedures for Academic Consideration: </w:t>
      </w:r>
    </w:p>
    <w:p w14:paraId="569C8EAD" w14:textId="47BBFF53" w:rsidR="0003392D" w:rsidRDefault="00A1145E">
      <w:pPr>
        <w:spacing w:after="120"/>
      </w:pPr>
      <w:hyperlink r:id="rId9" w:history="1">
        <w:r w:rsidRPr="00B96B94">
          <w:rPr>
            <w:rStyle w:val="Hyperlink"/>
          </w:rPr>
          <w:t>http://www.uoguelph.ca/registrar/calendars/undergraduate/current/c08/c08-ac.shtml</w:t>
        </w:r>
      </w:hyperlink>
    </w:p>
    <w:p w14:paraId="42C14DD5" w14:textId="15C2947A" w:rsidR="0003392D" w:rsidRDefault="00000000">
      <w:pPr>
        <w:pStyle w:val="Heading2"/>
      </w:pPr>
      <w:r>
        <w:t>Academic Misconduct</w:t>
      </w:r>
    </w:p>
    <w:p w14:paraId="706D70F5" w14:textId="77777777" w:rsidR="00A1145E" w:rsidRDefault="00000000">
      <w:pPr>
        <w:spacing w:after="120"/>
        <w:rPr>
          <w:color w:val="000000"/>
        </w:rPr>
      </w:pPr>
      <w:r>
        <w:rPr>
          <w:color w:val="000000"/>
        </w:rPr>
        <w:t xml:space="preserve">The University of Guelph is committed to upholding the highest standards of academic integrity and it is the responsibility of all members of the University community — faculty, staff, and students — to be </w:t>
      </w:r>
      <w:r>
        <w:rPr>
          <w:color w:val="000000"/>
        </w:rPr>
        <w:lastRenderedPageBreak/>
        <w:t xml:space="preserve">aware of what constitutes academic misconduct and to do as much as possible to prevent academic offences from occurring. </w:t>
      </w:r>
    </w:p>
    <w:p w14:paraId="0CD3B9BA" w14:textId="0B08ECB4" w:rsidR="0003392D" w:rsidRDefault="00000000">
      <w:pPr>
        <w:spacing w:after="120"/>
      </w:pPr>
      <w:r>
        <w:rPr>
          <w:color w:val="000000"/>
        </w:rPr>
        <w:t>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157319CB" w14:textId="77777777" w:rsidR="00A1145E" w:rsidRDefault="00000000">
      <w:pPr>
        <w:spacing w:after="120"/>
        <w:rPr>
          <w:color w:val="000000"/>
        </w:rPr>
      </w:pPr>
      <w:r>
        <w:rPr>
          <w:color w:val="000000"/>
        </w:rPr>
        <w:t xml:space="preserve">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5389C28F" w14:textId="3D698DD6" w:rsidR="00A1145E" w:rsidRDefault="00000000">
      <w:pPr>
        <w:spacing w:after="120"/>
        <w:rPr>
          <w:color w:val="000000"/>
        </w:rPr>
      </w:pPr>
      <w:r>
        <w:rPr>
          <w:color w:val="000000"/>
        </w:rPr>
        <w:t xml:space="preserve">The Academic Misconduct Policy is detailed in the Undergraduate Calendar: </w:t>
      </w:r>
    </w:p>
    <w:p w14:paraId="3188C3C7" w14:textId="3E7EACB4" w:rsidR="0003392D" w:rsidRDefault="00A1145E">
      <w:pPr>
        <w:spacing w:after="120"/>
        <w:rPr>
          <w:color w:val="000000"/>
        </w:rPr>
      </w:pPr>
      <w:hyperlink r:id="rId10" w:history="1">
        <w:r w:rsidRPr="00B96B94">
          <w:rPr>
            <w:rStyle w:val="Hyperlink"/>
          </w:rPr>
          <w:t>https://www.uoguelph.ca/registrar/calendars/undergraduate/current/c08/c08-amisconduct.shtml</w:t>
        </w:r>
      </w:hyperlink>
    </w:p>
    <w:p w14:paraId="66CB6D67" w14:textId="732B3A52" w:rsidR="0003392D" w:rsidRDefault="00000000">
      <w:pPr>
        <w:pStyle w:val="Heading2"/>
      </w:pPr>
      <w:r>
        <w:t>Accessibility</w:t>
      </w:r>
    </w:p>
    <w:p w14:paraId="2530E688" w14:textId="7B8BDF3C" w:rsidR="0003392D" w:rsidRDefault="00000000">
      <w:pPr>
        <w:spacing w:after="120"/>
        <w:rPr>
          <w:color w:val="000000"/>
        </w:rPr>
      </w:pPr>
      <w:r>
        <w:rPr>
          <w:color w:val="000000"/>
        </w:rPr>
        <w:t xml:space="preserve">The University of Guelph is committed to creating a barrier-free environment. Providing services for students is a shared responsibility among students, faculty, and administrators. This relationship is based on respect of individual rights, the dignity of the individual, and the University community's shared commitment to an open and supportive learning environment. Students requiring service or accommodation, whether due to an identified, ongoing disability or a short-term disability, should contact Student Accessibility Services as soon as possible. For more information, contact SAS at 519-824-4120 ext. 56208, email sas@uoguelph.ca, or visit: </w:t>
      </w:r>
      <w:hyperlink r:id="rId11" w:history="1">
        <w:r w:rsidR="009B3D40" w:rsidRPr="00A2119B">
          <w:rPr>
            <w:rStyle w:val="Hyperlink"/>
          </w:rPr>
          <w:t>https://wellness.uoguelph.ca/accessibility/</w:t>
        </w:r>
      </w:hyperlink>
    </w:p>
    <w:p w14:paraId="6008A846" w14:textId="77777777" w:rsidR="0003392D" w:rsidRDefault="00000000">
      <w:pPr>
        <w:pStyle w:val="Heading2"/>
      </w:pPr>
      <w:r>
        <w:t>Course Evaluation Information</w:t>
      </w:r>
    </w:p>
    <w:p w14:paraId="472C8076" w14:textId="77777777" w:rsidR="0003392D" w:rsidRDefault="00000000">
      <w:pPr>
        <w:spacing w:after="120"/>
      </w:pPr>
      <w:r>
        <w:rPr>
          <w:color w:val="000000"/>
        </w:rPr>
        <w:t xml:space="preserve">Please refer to the Blue by </w:t>
      </w:r>
      <w:proofErr w:type="spellStart"/>
      <w:r>
        <w:rPr>
          <w:color w:val="000000"/>
        </w:rPr>
        <w:t>Explorance</w:t>
      </w:r>
      <w:proofErr w:type="spellEnd"/>
      <w:r>
        <w:rPr>
          <w:color w:val="000000"/>
        </w:rPr>
        <w:t xml:space="preserve"> system for course evaluations.</w:t>
      </w:r>
    </w:p>
    <w:p w14:paraId="11491273" w14:textId="77777777" w:rsidR="0003392D" w:rsidRDefault="00000000">
      <w:pPr>
        <w:pStyle w:val="Heading2"/>
      </w:pPr>
      <w:r>
        <w:t>Recording of Materials</w:t>
      </w:r>
    </w:p>
    <w:p w14:paraId="3B55889D" w14:textId="77777777" w:rsidR="0003392D" w:rsidRDefault="00000000">
      <w:pPr>
        <w:spacing w:after="120"/>
        <w:rPr>
          <w:color w:val="000000"/>
        </w:rPr>
      </w:pPr>
      <w:r>
        <w:rPr>
          <w:color w:val="000000"/>
        </w:rPr>
        <w:t>Presentations made in relation to course work — including lectures — cannot be recorded or copied without the permission of the presenter, whether the instructor, a classmate, or a guest lecturer. Material recorded with permission is restricted to use for that course unless further permission is granted.</w:t>
      </w:r>
    </w:p>
    <w:p w14:paraId="7752E3DD" w14:textId="77777777" w:rsidR="006943C9" w:rsidRDefault="006943C9" w:rsidP="006943C9">
      <w:pPr>
        <w:pStyle w:val="Heading2"/>
      </w:pPr>
      <w:r>
        <w:t>Drop Date</w:t>
      </w:r>
    </w:p>
    <w:p w14:paraId="4CD3E05B" w14:textId="77C1BDD2" w:rsidR="006943C9" w:rsidRDefault="006943C9">
      <w:pPr>
        <w:spacing w:after="120"/>
      </w:pPr>
      <w:r>
        <w:rPr>
          <w:color w:val="000000"/>
        </w:rPr>
        <w:t xml:space="preserve">The last date to drop one-semester Fall 2026 courses without academic penalty is </w:t>
      </w:r>
      <w:r w:rsidRPr="006943C9">
        <w:rPr>
          <w:b/>
          <w:bCs/>
          <w:color w:val="000000"/>
          <w:u w:val="single"/>
        </w:rPr>
        <w:t>Friday, December 4, 2026</w:t>
      </w:r>
      <w:r>
        <w:rPr>
          <w:color w:val="000000"/>
        </w:rPr>
        <w:t xml:space="preserve">. For regulations and procedures for dropping courses, see the Academic Calendar: </w:t>
      </w:r>
      <w:hyperlink r:id="rId12" w:history="1">
        <w:r w:rsidRPr="00A2119B">
          <w:rPr>
            <w:rStyle w:val="Hyperlink"/>
          </w:rPr>
          <w:t>https://www.uoguelph.ca/registrar/calendars/undergraduate/current/c08/c08-drop.shtml</w:t>
        </w:r>
      </w:hyperlink>
    </w:p>
    <w:sectPr w:rsidR="006943C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4B17E5"/>
    <w:multiLevelType w:val="hybridMultilevel"/>
    <w:tmpl w:val="E2F8D15A"/>
    <w:lvl w:ilvl="0" w:tplc="086C8B26">
      <w:start w:val="1"/>
      <w:numFmt w:val="bullet"/>
      <w:lvlText w:val="•"/>
      <w:lvlJc w:val="left"/>
      <w:pPr>
        <w:ind w:left="720" w:hanging="360"/>
      </w:pPr>
    </w:lvl>
    <w:lvl w:ilvl="1" w:tplc="AF409C9A">
      <w:numFmt w:val="decimal"/>
      <w:lvlText w:val=""/>
      <w:lvlJc w:val="left"/>
    </w:lvl>
    <w:lvl w:ilvl="2" w:tplc="6C403F46">
      <w:numFmt w:val="decimal"/>
      <w:lvlText w:val=""/>
      <w:lvlJc w:val="left"/>
    </w:lvl>
    <w:lvl w:ilvl="3" w:tplc="D7046E50">
      <w:numFmt w:val="decimal"/>
      <w:lvlText w:val=""/>
      <w:lvlJc w:val="left"/>
    </w:lvl>
    <w:lvl w:ilvl="4" w:tplc="654688F0">
      <w:numFmt w:val="decimal"/>
      <w:lvlText w:val=""/>
      <w:lvlJc w:val="left"/>
    </w:lvl>
    <w:lvl w:ilvl="5" w:tplc="F418D02C">
      <w:numFmt w:val="decimal"/>
      <w:lvlText w:val=""/>
      <w:lvlJc w:val="left"/>
    </w:lvl>
    <w:lvl w:ilvl="6" w:tplc="D5BAF396">
      <w:numFmt w:val="decimal"/>
      <w:lvlText w:val=""/>
      <w:lvlJc w:val="left"/>
    </w:lvl>
    <w:lvl w:ilvl="7" w:tplc="76FAE5AE">
      <w:numFmt w:val="decimal"/>
      <w:lvlText w:val=""/>
      <w:lvlJc w:val="left"/>
    </w:lvl>
    <w:lvl w:ilvl="8" w:tplc="FE164F2E">
      <w:numFmt w:val="decimal"/>
      <w:lvlText w:val=""/>
      <w:lvlJc w:val="left"/>
    </w:lvl>
  </w:abstractNum>
  <w:abstractNum w:abstractNumId="1" w15:restartNumberingAfterBreak="0">
    <w:nsid w:val="24C851EA"/>
    <w:multiLevelType w:val="hybridMultilevel"/>
    <w:tmpl w:val="77F22162"/>
    <w:lvl w:ilvl="0" w:tplc="1108D294">
      <w:start w:val="1"/>
      <w:numFmt w:val="bullet"/>
      <w:lvlText w:val="●"/>
      <w:lvlJc w:val="left"/>
      <w:pPr>
        <w:ind w:left="720" w:hanging="360"/>
      </w:pPr>
    </w:lvl>
    <w:lvl w:ilvl="1" w:tplc="0BB2EA3C">
      <w:start w:val="1"/>
      <w:numFmt w:val="bullet"/>
      <w:lvlText w:val="○"/>
      <w:lvlJc w:val="left"/>
      <w:pPr>
        <w:ind w:left="1440" w:hanging="360"/>
      </w:pPr>
    </w:lvl>
    <w:lvl w:ilvl="2" w:tplc="89CA79C4">
      <w:start w:val="1"/>
      <w:numFmt w:val="bullet"/>
      <w:lvlText w:val="■"/>
      <w:lvlJc w:val="left"/>
      <w:pPr>
        <w:ind w:left="2160" w:hanging="360"/>
      </w:pPr>
    </w:lvl>
    <w:lvl w:ilvl="3" w:tplc="E73ECD64">
      <w:start w:val="1"/>
      <w:numFmt w:val="bullet"/>
      <w:lvlText w:val="●"/>
      <w:lvlJc w:val="left"/>
      <w:pPr>
        <w:ind w:left="2880" w:hanging="360"/>
      </w:pPr>
    </w:lvl>
    <w:lvl w:ilvl="4" w:tplc="12DCEC44">
      <w:start w:val="1"/>
      <w:numFmt w:val="bullet"/>
      <w:lvlText w:val="○"/>
      <w:lvlJc w:val="left"/>
      <w:pPr>
        <w:ind w:left="3600" w:hanging="360"/>
      </w:pPr>
    </w:lvl>
    <w:lvl w:ilvl="5" w:tplc="6E6A4C76">
      <w:start w:val="1"/>
      <w:numFmt w:val="bullet"/>
      <w:lvlText w:val="■"/>
      <w:lvlJc w:val="left"/>
      <w:pPr>
        <w:ind w:left="4320" w:hanging="360"/>
      </w:pPr>
    </w:lvl>
    <w:lvl w:ilvl="6" w:tplc="BD804AAE">
      <w:start w:val="1"/>
      <w:numFmt w:val="bullet"/>
      <w:lvlText w:val="●"/>
      <w:lvlJc w:val="left"/>
      <w:pPr>
        <w:ind w:left="5040" w:hanging="360"/>
      </w:pPr>
    </w:lvl>
    <w:lvl w:ilvl="7" w:tplc="7FDC947E">
      <w:start w:val="1"/>
      <w:numFmt w:val="bullet"/>
      <w:lvlText w:val="●"/>
      <w:lvlJc w:val="left"/>
      <w:pPr>
        <w:ind w:left="5760" w:hanging="360"/>
      </w:pPr>
    </w:lvl>
    <w:lvl w:ilvl="8" w:tplc="287EE844">
      <w:start w:val="1"/>
      <w:numFmt w:val="bullet"/>
      <w:lvlText w:val="●"/>
      <w:lvlJc w:val="left"/>
      <w:pPr>
        <w:ind w:left="6480" w:hanging="360"/>
      </w:pPr>
    </w:lvl>
  </w:abstractNum>
  <w:abstractNum w:abstractNumId="2" w15:restartNumberingAfterBreak="0">
    <w:nsid w:val="37DE06AC"/>
    <w:multiLevelType w:val="hybridMultilevel"/>
    <w:tmpl w:val="61D2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4864321">
    <w:abstractNumId w:val="1"/>
    <w:lvlOverride w:ilvl="0">
      <w:startOverride w:val="1"/>
    </w:lvlOverride>
  </w:num>
  <w:num w:numId="2" w16cid:durableId="75806570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2D"/>
    <w:rsid w:val="0003392D"/>
    <w:rsid w:val="000355A3"/>
    <w:rsid w:val="000E1218"/>
    <w:rsid w:val="000F7E41"/>
    <w:rsid w:val="0015356A"/>
    <w:rsid w:val="001808D2"/>
    <w:rsid w:val="00190F89"/>
    <w:rsid w:val="00252C35"/>
    <w:rsid w:val="002542A7"/>
    <w:rsid w:val="002B6E1F"/>
    <w:rsid w:val="002F52EE"/>
    <w:rsid w:val="003F6FEF"/>
    <w:rsid w:val="004019FE"/>
    <w:rsid w:val="004D0B58"/>
    <w:rsid w:val="00525CE8"/>
    <w:rsid w:val="00572C2E"/>
    <w:rsid w:val="006512A9"/>
    <w:rsid w:val="00656870"/>
    <w:rsid w:val="00690CA3"/>
    <w:rsid w:val="006943C9"/>
    <w:rsid w:val="006E13CF"/>
    <w:rsid w:val="00791609"/>
    <w:rsid w:val="007B0D5B"/>
    <w:rsid w:val="00806473"/>
    <w:rsid w:val="00860EFB"/>
    <w:rsid w:val="00893991"/>
    <w:rsid w:val="008F5E50"/>
    <w:rsid w:val="00977746"/>
    <w:rsid w:val="00994620"/>
    <w:rsid w:val="009B3D40"/>
    <w:rsid w:val="009E34FC"/>
    <w:rsid w:val="009F7314"/>
    <w:rsid w:val="00A02DE5"/>
    <w:rsid w:val="00A1145E"/>
    <w:rsid w:val="00A22B2F"/>
    <w:rsid w:val="00A75376"/>
    <w:rsid w:val="00B52267"/>
    <w:rsid w:val="00C554D8"/>
    <w:rsid w:val="00CC5A5F"/>
    <w:rsid w:val="00D82E96"/>
    <w:rsid w:val="00DC7C3A"/>
    <w:rsid w:val="00E009C0"/>
    <w:rsid w:val="00E31DA6"/>
    <w:rsid w:val="00E45B6A"/>
    <w:rsid w:val="00E967D5"/>
    <w:rsid w:val="00ED227D"/>
    <w:rsid w:val="00F64827"/>
    <w:rsid w:val="00F82DD7"/>
    <w:rsid w:val="00FE20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1EA69"/>
  <w15:docId w15:val="{360AE225-6204-6644-BB6A-A145D383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rFonts w:ascii="Cambria" w:eastAsia="Cambria" w:hAnsi="Cambria" w:cs="Cambria"/>
      <w:b/>
      <w:bCs/>
      <w:color w:val="1F3864"/>
      <w:sz w:val="28"/>
      <w:szCs w:val="28"/>
    </w:rPr>
  </w:style>
  <w:style w:type="paragraph" w:styleId="Heading2">
    <w:name w:val="heading 2"/>
    <w:uiPriority w:val="9"/>
    <w:unhideWhenUsed/>
    <w:qFormat/>
    <w:pPr>
      <w:spacing w:before="200" w:after="80"/>
      <w:outlineLvl w:val="1"/>
    </w:pPr>
    <w:rPr>
      <w:rFonts w:ascii="Cambria" w:eastAsia="Cambria" w:hAnsi="Cambria" w:cs="Cambria"/>
      <w:b/>
      <w:bCs/>
      <w:color w:val="1F7A8C"/>
      <w:sz w:val="24"/>
      <w:szCs w:val="24"/>
    </w:rPr>
  </w:style>
  <w:style w:type="paragraph" w:styleId="Heading3">
    <w:name w:val="heading 3"/>
    <w:uiPriority w:val="9"/>
    <w:unhideWhenUsed/>
    <w:qFormat/>
    <w:pPr>
      <w:spacing w:before="16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customStyle="1" w:styleId="TitleChar">
    <w:name w:val="Title Char"/>
    <w:basedOn w:val="DefaultParagraphFont"/>
    <w:link w:val="Title"/>
    <w:rsid w:val="00E967D5"/>
    <w:rPr>
      <w:sz w:val="56"/>
      <w:szCs w:val="56"/>
    </w:rPr>
  </w:style>
  <w:style w:type="character" w:styleId="Emphasis">
    <w:name w:val="Emphasis"/>
    <w:basedOn w:val="DefaultParagraphFont"/>
    <w:uiPriority w:val="20"/>
    <w:qFormat/>
    <w:rsid w:val="00893991"/>
    <w:rPr>
      <w:i/>
      <w:iCs/>
    </w:rPr>
  </w:style>
  <w:style w:type="character" w:styleId="UnresolvedMention">
    <w:name w:val="Unresolved Mention"/>
    <w:basedOn w:val="DefaultParagraphFont"/>
    <w:uiPriority w:val="99"/>
    <w:semiHidden/>
    <w:unhideWhenUsed/>
    <w:rsid w:val="006943C9"/>
    <w:rPr>
      <w:color w:val="605E5C"/>
      <w:shd w:val="clear" w:color="auto" w:fill="E1DFDD"/>
    </w:rPr>
  </w:style>
  <w:style w:type="character" w:styleId="FollowedHyperlink">
    <w:name w:val="FollowedHyperlink"/>
    <w:basedOn w:val="DefaultParagraphFont"/>
    <w:uiPriority w:val="99"/>
    <w:semiHidden/>
    <w:unhideWhenUsed/>
    <w:rsid w:val="006943C9"/>
    <w:rPr>
      <w:color w:val="96607D" w:themeColor="followedHyperlink"/>
      <w:u w:val="single"/>
    </w:rPr>
  </w:style>
  <w:style w:type="character" w:styleId="Strong">
    <w:name w:val="Strong"/>
    <w:basedOn w:val="DefaultParagraphFont"/>
    <w:uiPriority w:val="22"/>
    <w:qFormat/>
    <w:rsid w:val="000E12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grds.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vanhai@uoguelph.ca" TargetMode="External"/><Relationship Id="rId12" Type="http://schemas.openxmlformats.org/officeDocument/2006/relationships/hyperlink" Target="https://www.uoguelph.ca/registrar/calendars/undergraduate/current/c08/c08-drop.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ellness.uoguelph.ca/accessibility/" TargetMode="External"/><Relationship Id="rId5" Type="http://schemas.openxmlformats.org/officeDocument/2006/relationships/webSettings" Target="webSettings.xml"/><Relationship Id="rId10" Type="http://schemas.openxmlformats.org/officeDocument/2006/relationships/hyperlink" Target="https://www.uoguelph.ca/registrar/calendars/undergraduate/current/c08/c08-amisconduct.shtml" TargetMode="External"/><Relationship Id="rId4" Type="http://schemas.openxmlformats.org/officeDocument/2006/relationships/settings" Target="settings.xml"/><Relationship Id="rId9" Type="http://schemas.openxmlformats.org/officeDocument/2006/relationships/hyperlink" Target="http://www.uoguelph.ca/registrar/calendars/undergraduate/current/c08/c08-ac.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FE3C3-748B-7642-8292-97BE3DEE3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3594</Words>
  <Characters>20486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Nguyen, Hai Van</cp:lastModifiedBy>
  <cp:revision>3</cp:revision>
  <dcterms:created xsi:type="dcterms:W3CDTF">2026-08-24T12:15:00Z</dcterms:created>
  <dcterms:modified xsi:type="dcterms:W3CDTF">2026-08-24T12:16:00Z</dcterms:modified>
</cp:coreProperties>
</file>