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 w:lineRule="auto"/>
        <w:rPr>
          <w:b w:val="1"/>
        </w:rPr>
      </w:pPr>
      <w:r w:rsidDel="00000000" w:rsidR="00000000" w:rsidRPr="00000000">
        <w:rPr>
          <w:rtl w:val="0"/>
        </w:rPr>
      </w:r>
    </w:p>
    <w:p w:rsidR="00000000" w:rsidDel="00000000" w:rsidP="00000000" w:rsidRDefault="00000000" w:rsidRPr="00000000" w14:paraId="00000002">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 w:lineRule="auto"/>
        <w:ind w:left="360" w:hanging="360"/>
        <w:rPr>
          <w:b w:val="1"/>
        </w:rPr>
      </w:pPr>
      <w:r w:rsidDel="00000000" w:rsidR="00000000" w:rsidRPr="00000000">
        <w:rPr>
          <w:b w:val="1"/>
          <w:rtl w:val="0"/>
        </w:rPr>
        <w:t xml:space="preserve">What Is CIHR?</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hd w:fill="ffffff" w:val="clear"/>
        <w:spacing w:after="30" w:lineRule="auto"/>
        <w:rPr/>
      </w:pPr>
      <w:r w:rsidDel="00000000" w:rsidR="00000000" w:rsidRPr="00000000">
        <w:rPr>
          <w:rtl w:val="0"/>
        </w:rPr>
        <w:t xml:space="preserve">The Canadian Institutes of Health Research (CIHR) is the Government of Canada's health research investment agency. We fund innovative health research across basic science, clinical, health systems and population health domains to improve the health and well-being of all Canadians.  </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hd w:fill="ffffff" w:val="clear"/>
        <w:spacing w:after="30" w:lineRule="auto"/>
        <w:rPr/>
      </w:pPr>
      <w:r w:rsidDel="00000000" w:rsidR="00000000" w:rsidRPr="00000000">
        <w:rPr>
          <w:rtl w:val="0"/>
        </w:rPr>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hd w:fill="ffffff" w:val="clear"/>
        <w:spacing w:after="30" w:lineRule="auto"/>
        <w:rPr>
          <w:b w:val="1"/>
          <w:i w:val="1"/>
        </w:rPr>
      </w:pPr>
      <w:r w:rsidDel="00000000" w:rsidR="00000000" w:rsidRPr="00000000">
        <w:rPr>
          <w:rtl w:val="0"/>
        </w:rPr>
        <w:t xml:space="preserve">CIHR was established in 2000 under the authority of the</w:t>
      </w:r>
      <w:r w:rsidDel="00000000" w:rsidR="00000000" w:rsidRPr="00000000">
        <w:rPr>
          <w:color w:val="666666"/>
          <w:rtl w:val="0"/>
        </w:rPr>
        <w:t xml:space="preserve"> </w:t>
      </w:r>
      <w:hyperlink r:id="rId7">
        <w:r w:rsidDel="00000000" w:rsidR="00000000" w:rsidRPr="00000000">
          <w:rPr>
            <w:color w:val="1155cc"/>
            <w:u w:val="single"/>
            <w:rtl w:val="0"/>
          </w:rPr>
          <w:t xml:space="preserve">Canadian Institutes of Health Research Act</w:t>
        </w:r>
      </w:hyperlink>
      <w:r w:rsidDel="00000000" w:rsidR="00000000" w:rsidRPr="00000000">
        <w:rPr>
          <w:color w:val="666666"/>
          <w:rtl w:val="0"/>
        </w:rPr>
        <w:t xml:space="preserve">.</w:t>
      </w:r>
      <w:r w:rsidDel="00000000" w:rsidR="00000000" w:rsidRPr="00000000">
        <w:rPr>
          <w:rtl w:val="0"/>
        </w:rPr>
        <w:t xml:space="preserve"> It is an independent government agency and is accountable to Parliament through the Minister of Health.</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hd w:fill="ffffff" w:val="clear"/>
        <w:spacing w:after="30" w:lineRule="auto"/>
        <w:rPr>
          <w:b w:val="1"/>
          <w:i w:val="1"/>
        </w:rPr>
      </w:pPr>
      <w:r w:rsidDel="00000000" w:rsidR="00000000" w:rsidRPr="00000000">
        <w:rPr>
          <w:rtl w:val="0"/>
        </w:rPr>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hd w:fill="ffffff" w:val="clear"/>
        <w:spacing w:after="30" w:lineRule="auto"/>
        <w:rPr/>
      </w:pPr>
      <w:r w:rsidDel="00000000" w:rsidR="00000000" w:rsidRPr="00000000">
        <w:rPr>
          <w:b w:val="1"/>
          <w:i w:val="1"/>
          <w:rtl w:val="0"/>
        </w:rPr>
        <w:t xml:space="preserve">Our mission</w:t>
      </w:r>
      <w:r w:rsidDel="00000000" w:rsidR="00000000" w:rsidRPr="00000000">
        <w:rPr>
          <w:rtl w:val="0"/>
        </w:rPr>
        <w:t xml:space="preserve"> is to create new scientific knowledge and to enable its translation into improved health, more effective health services and products, and a strengthened Canadian health care system.</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hd w:fill="ffffff" w:val="clear"/>
        <w:spacing w:after="30" w:lineRule="auto"/>
        <w:rPr>
          <w:b w:val="1"/>
          <w:i w:val="1"/>
          <w:color w:val="333333"/>
        </w:rPr>
      </w:pP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hd w:fill="ffffff" w:val="clear"/>
        <w:spacing w:after="30" w:lineRule="auto"/>
        <w:rPr>
          <w:b w:val="1"/>
          <w:i w:val="1"/>
        </w:rPr>
      </w:pPr>
      <w:r w:rsidDel="00000000" w:rsidR="00000000" w:rsidRPr="00000000">
        <w:rPr>
          <w:b w:val="1"/>
          <w:i w:val="1"/>
          <w:color w:val="333333"/>
          <w:rtl w:val="0"/>
        </w:rPr>
        <w:t xml:space="preserve">Our vision</w:t>
      </w:r>
      <w:r w:rsidDel="00000000" w:rsidR="00000000" w:rsidRPr="00000000">
        <w:rPr>
          <w:color w:val="333333"/>
          <w:rtl w:val="0"/>
        </w:rPr>
        <w:t xml:space="preserve"> is the best health for all, powered by outstanding research.</w:t>
      </w:r>
      <w:r w:rsidDel="00000000" w:rsidR="00000000" w:rsidRPr="00000000">
        <w:rPr>
          <w:rtl w:val="0"/>
        </w:rPr>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 w:lineRule="auto"/>
        <w:rPr>
          <w:b w:val="1"/>
          <w:i w:val="1"/>
        </w:rPr>
      </w:pPr>
      <w:r w:rsidDel="00000000" w:rsidR="00000000" w:rsidRPr="00000000">
        <w:rPr>
          <w:rtl w:val="0"/>
        </w:rPr>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 w:lineRule="auto"/>
        <w:rPr>
          <w:color w:val="333333"/>
        </w:rPr>
      </w:pPr>
      <w:r w:rsidDel="00000000" w:rsidR="00000000" w:rsidRPr="00000000">
        <w:rPr>
          <w:b w:val="1"/>
          <w:i w:val="1"/>
          <w:rtl w:val="0"/>
        </w:rPr>
        <w:t xml:space="preserve">Our goal</w:t>
      </w:r>
      <w:r w:rsidDel="00000000" w:rsidR="00000000" w:rsidRPr="00000000">
        <w:rPr>
          <w:rtl w:val="0"/>
        </w:rPr>
        <w:t xml:space="preserve"> is to support the best health for all powered by outstanding research. </w:t>
      </w:r>
      <w:r w:rsidDel="00000000" w:rsidR="00000000" w:rsidRPr="00000000">
        <w:rPr>
          <w:rtl w:val="0"/>
        </w:rPr>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 w:lineRule="auto"/>
        <w:rPr/>
      </w:pPr>
      <w:r w:rsidDel="00000000" w:rsidR="00000000" w:rsidRPr="00000000">
        <w:rPr>
          <w:rtl w:val="0"/>
        </w:rPr>
        <w:t xml:space="preserve">Watch the video </w:t>
      </w:r>
      <w:hyperlink r:id="rId8">
        <w:r w:rsidDel="00000000" w:rsidR="00000000" w:rsidRPr="00000000">
          <w:rPr>
            <w:color w:val="1155cc"/>
            <w:u w:val="single"/>
            <w:rtl w:val="0"/>
          </w:rPr>
          <w:t xml:space="preserve">here</w:t>
        </w:r>
      </w:hyperlink>
      <w:r w:rsidDel="00000000" w:rsidR="00000000" w:rsidRPr="00000000">
        <w:rPr>
          <w:rtl w:val="0"/>
        </w:rPr>
        <w:t xml:space="preserve"> to learn more.</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 w:lineRule="auto"/>
        <w:rPr>
          <w:b w:val="1"/>
        </w:rPr>
      </w:pPr>
      <w:r w:rsidDel="00000000" w:rsidR="00000000" w:rsidRPr="00000000">
        <w:rPr>
          <w:rtl w:val="0"/>
        </w:rPr>
      </w:r>
    </w:p>
    <w:p w:rsidR="00000000" w:rsidDel="00000000" w:rsidP="00000000" w:rsidRDefault="00000000" w:rsidRPr="00000000" w14:paraId="0000000E">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 w:lineRule="auto"/>
        <w:ind w:left="360" w:hanging="360"/>
        <w:rPr>
          <w:b w:val="1"/>
        </w:rPr>
      </w:pPr>
      <w:hyperlink r:id="rId9">
        <w:r w:rsidDel="00000000" w:rsidR="00000000" w:rsidRPr="00000000">
          <w:rPr>
            <w:b w:val="1"/>
            <w:color w:val="1155cc"/>
            <w:u w:val="single"/>
            <w:rtl w:val="0"/>
          </w:rPr>
          <w:t xml:space="preserve">What are Institute Advisory Boards (IABs)</w:t>
        </w:r>
      </w:hyperlink>
      <w:r w:rsidDel="00000000" w:rsidR="00000000" w:rsidRPr="00000000">
        <w:rPr>
          <w:b w:val="1"/>
          <w:rtl w:val="0"/>
        </w:rPr>
        <w:t xml:space="preserve">? </w:t>
      </w:r>
    </w:p>
    <w:p w:rsidR="00000000" w:rsidDel="00000000" w:rsidP="00000000" w:rsidRDefault="00000000" w:rsidRPr="00000000" w14:paraId="0000000F">
      <w:pPr>
        <w:spacing w:after="30" w:before="30" w:lineRule="auto"/>
        <w:rPr/>
      </w:pPr>
      <w:r w:rsidDel="00000000" w:rsidR="00000000" w:rsidRPr="00000000">
        <w:rPr>
          <w:rtl w:val="0"/>
        </w:rPr>
        <w:t xml:space="preserve">Each of CIHR’s 13 Institutes has its own Institute Advisory Board (IAB). The IAB is a collective body of advisors who provide Institute-specific advice and enhance the Institute’s overall ability to plan, function, and engage their respective communities. They may be called upon to provide guidance on Institute-specific and where appropriate, cross-Institute initiatives and activities; and help to increase CIHR’s commitment to health research excellence and improved health for Canadians. </w:t>
      </w:r>
    </w:p>
    <w:p w:rsidR="00000000" w:rsidDel="00000000" w:rsidP="00000000" w:rsidRDefault="00000000" w:rsidRPr="00000000" w14:paraId="00000010">
      <w:pPr>
        <w:spacing w:after="30" w:before="30" w:lineRule="auto"/>
        <w:rPr/>
      </w:pPr>
      <w:r w:rsidDel="00000000" w:rsidR="00000000" w:rsidRPr="00000000">
        <w:rPr>
          <w:rtl w:val="0"/>
        </w:rPr>
      </w:r>
    </w:p>
    <w:p w:rsidR="00000000" w:rsidDel="00000000" w:rsidP="00000000" w:rsidRDefault="00000000" w:rsidRPr="00000000" w14:paraId="00000011">
      <w:pPr>
        <w:spacing w:after="30" w:before="30" w:lineRule="auto"/>
        <w:rPr/>
      </w:pPr>
      <w:r w:rsidDel="00000000" w:rsidR="00000000" w:rsidRPr="00000000">
        <w:rPr>
          <w:rtl w:val="0"/>
        </w:rPr>
        <w:t xml:space="preserve">IABs are composed of a diverse group of national and international representatives including scientists, clinicians, non-scientific experts from public, private and not-for-profit sectors, patients and individuals with lived experiences. </w:t>
      </w:r>
    </w:p>
    <w:p w:rsidR="00000000" w:rsidDel="00000000" w:rsidP="00000000" w:rsidRDefault="00000000" w:rsidRPr="00000000" w14:paraId="00000012">
      <w:pPr>
        <w:spacing w:after="30" w:lineRule="auto"/>
        <w:rPr>
          <w:b w:val="1"/>
          <w:color w:val="0e101a"/>
        </w:rPr>
      </w:pPr>
      <w:r w:rsidDel="00000000" w:rsidR="00000000" w:rsidRPr="00000000">
        <w:rPr>
          <w:rtl w:val="0"/>
        </w:rPr>
      </w:r>
    </w:p>
    <w:p w:rsidR="00000000" w:rsidDel="00000000" w:rsidP="00000000" w:rsidRDefault="00000000" w:rsidRPr="00000000" w14:paraId="00000013">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 w:lineRule="auto"/>
        <w:ind w:left="360" w:hanging="360"/>
        <w:rPr>
          <w:b w:val="1"/>
        </w:rPr>
      </w:pPr>
      <w:r w:rsidDel="00000000" w:rsidR="00000000" w:rsidRPr="00000000">
        <w:rPr>
          <w:b w:val="1"/>
          <w:rtl w:val="0"/>
        </w:rPr>
        <w:t xml:space="preserve">Why</w:t>
      </w:r>
      <w:r w:rsidDel="00000000" w:rsidR="00000000" w:rsidRPr="00000000">
        <w:rPr>
          <w:b w:val="1"/>
          <w:color w:val="0e101a"/>
          <w:rtl w:val="0"/>
        </w:rPr>
        <w:t xml:space="preserve"> join our IABs?</w:t>
      </w:r>
      <w:r w:rsidDel="00000000" w:rsidR="00000000" w:rsidRPr="00000000">
        <w:rPr>
          <w:rtl w:val="0"/>
        </w:rPr>
      </w:r>
    </w:p>
    <w:p w:rsidR="00000000" w:rsidDel="00000000" w:rsidP="00000000" w:rsidRDefault="00000000" w:rsidRPr="00000000" w14:paraId="00000014">
      <w:pPr>
        <w:rPr>
          <w:color w:val="0e101a"/>
        </w:rPr>
      </w:pPr>
      <w:r w:rsidDel="00000000" w:rsidR="00000000" w:rsidRPr="00000000">
        <w:rPr>
          <w:color w:val="0e101a"/>
          <w:rtl w:val="0"/>
        </w:rPr>
        <w:t xml:space="preserve">As a member of an IAB, you will have the opportunity to advance/contribute to health research priorities, strategies, and community engagement of your Institute.</w:t>
      </w:r>
    </w:p>
    <w:p w:rsidR="00000000" w:rsidDel="00000000" w:rsidP="00000000" w:rsidRDefault="00000000" w:rsidRPr="00000000" w14:paraId="00000015">
      <w:pPr>
        <w:rPr>
          <w:color w:val="0e101a"/>
        </w:rPr>
      </w:pPr>
      <w:r w:rsidDel="00000000" w:rsidR="00000000" w:rsidRPr="00000000">
        <w:rPr>
          <w:rtl w:val="0"/>
        </w:rPr>
      </w:r>
    </w:p>
    <w:p w:rsidR="00000000" w:rsidDel="00000000" w:rsidP="00000000" w:rsidRDefault="00000000" w:rsidRPr="00000000" w14:paraId="00000016">
      <w:pPr>
        <w:numPr>
          <w:ilvl w:val="0"/>
          <w:numId w:val="1"/>
        </w:numPr>
        <w:ind w:left="360" w:hanging="360"/>
        <w:rPr>
          <w:color w:val="0e101a"/>
        </w:rPr>
      </w:pPr>
      <w:r w:rsidDel="00000000" w:rsidR="00000000" w:rsidRPr="00000000">
        <w:rPr>
          <w:b w:val="1"/>
          <w:color w:val="0e101a"/>
          <w:rtl w:val="0"/>
        </w:rPr>
        <w:t xml:space="preserve">Shape the Future of Canadian Health Research: </w:t>
      </w:r>
      <w:r w:rsidDel="00000000" w:rsidR="00000000" w:rsidRPr="00000000">
        <w:rPr>
          <w:color w:val="0e101a"/>
          <w:rtl w:val="0"/>
        </w:rPr>
        <w:t xml:space="preserve">Your valuable insights will inform strategic decisions and plans of the Institute, contributing to health research initiatives that will make a positive impact on the lives of all Canadians.  </w:t>
      </w:r>
    </w:p>
    <w:p w:rsidR="00000000" w:rsidDel="00000000" w:rsidP="00000000" w:rsidRDefault="00000000" w:rsidRPr="00000000" w14:paraId="00000017">
      <w:pPr>
        <w:numPr>
          <w:ilvl w:val="0"/>
          <w:numId w:val="1"/>
        </w:numPr>
        <w:ind w:left="360" w:hanging="360"/>
        <w:rPr>
          <w:color w:val="0e101a"/>
        </w:rPr>
      </w:pPr>
      <w:r w:rsidDel="00000000" w:rsidR="00000000" w:rsidRPr="00000000">
        <w:rPr>
          <w:b w:val="1"/>
          <w:color w:val="0e101a"/>
          <w:rtl w:val="0"/>
        </w:rPr>
        <w:t xml:space="preserve">Collaborate and Network: </w:t>
      </w:r>
      <w:r w:rsidDel="00000000" w:rsidR="00000000" w:rsidRPr="00000000">
        <w:rPr>
          <w:color w:val="0e101a"/>
          <w:rtl w:val="0"/>
        </w:rPr>
        <w:t xml:space="preserve">Immerse yourself in a dynamic group of experts from diverse backgrounds. Collaborate on multifaceted challenges and expand your professional network.</w:t>
      </w:r>
    </w:p>
    <w:p w:rsidR="00000000" w:rsidDel="00000000" w:rsidP="00000000" w:rsidRDefault="00000000" w:rsidRPr="00000000" w14:paraId="00000018">
      <w:pPr>
        <w:numPr>
          <w:ilvl w:val="0"/>
          <w:numId w:val="1"/>
        </w:numPr>
        <w:ind w:left="360" w:hanging="360"/>
        <w:rPr>
          <w:color w:val="0e101a"/>
        </w:rPr>
      </w:pPr>
      <w:r w:rsidDel="00000000" w:rsidR="00000000" w:rsidRPr="00000000">
        <w:rPr>
          <w:b w:val="1"/>
          <w:color w:val="0e101a"/>
          <w:rtl w:val="0"/>
        </w:rPr>
        <w:t xml:space="preserve">Contribute your Perspectives: </w:t>
      </w:r>
      <w:r w:rsidDel="00000000" w:rsidR="00000000" w:rsidRPr="00000000">
        <w:rPr>
          <w:color w:val="0e101a"/>
          <w:rtl w:val="0"/>
        </w:rPr>
        <w:t xml:space="preserve"> Serving as an IAB member is an opportunity to share your perspectives on health and health challenges facing distinct groups in Canada. Your involvement will help shape a health research landscape that reflects the diversity of the Canadian population.</w:t>
      </w:r>
    </w:p>
    <w:p w:rsidR="00000000" w:rsidDel="00000000" w:rsidP="00000000" w:rsidRDefault="00000000" w:rsidRPr="00000000" w14:paraId="00000019">
      <w:pPr>
        <w:spacing w:after="30" w:lineRule="auto"/>
        <w:rPr>
          <w:color w:val="0e101a"/>
        </w:rPr>
      </w:pPr>
      <w:r w:rsidDel="00000000" w:rsidR="00000000" w:rsidRPr="00000000">
        <w:rPr>
          <w:rtl w:val="0"/>
        </w:rPr>
      </w:r>
    </w:p>
    <w:p w:rsidR="00000000" w:rsidDel="00000000" w:rsidP="00000000" w:rsidRDefault="00000000" w:rsidRPr="00000000" w14:paraId="0000001A">
      <w:pPr>
        <w:spacing w:after="30" w:lineRule="auto"/>
        <w:rPr>
          <w:color w:val="0e101a"/>
        </w:rPr>
      </w:pPr>
      <w:r w:rsidDel="00000000" w:rsidR="00000000" w:rsidRPr="00000000">
        <w:rPr>
          <w:color w:val="0e101a"/>
          <w:rtl w:val="0"/>
        </w:rPr>
        <w:t xml:space="preserve">To learn more about the role by clicking the link of </w:t>
      </w:r>
      <w:hyperlink r:id="rId10">
        <w:r w:rsidDel="00000000" w:rsidR="00000000" w:rsidRPr="00000000">
          <w:rPr>
            <w:color w:val="4a6ee0"/>
            <w:u w:val="single"/>
            <w:rtl w:val="0"/>
          </w:rPr>
          <w:t xml:space="preserve">Terms of Reference</w:t>
        </w:r>
      </w:hyperlink>
      <w:r w:rsidDel="00000000" w:rsidR="00000000" w:rsidRPr="00000000">
        <w:rPr>
          <w:color w:val="0e101a"/>
          <w:rtl w:val="0"/>
        </w:rPr>
        <w:t xml:space="preserve">.  </w:t>
      </w:r>
    </w:p>
    <w:p w:rsidR="00000000" w:rsidDel="00000000" w:rsidP="00000000" w:rsidRDefault="00000000" w:rsidRPr="00000000" w14:paraId="0000001B">
      <w:pPr>
        <w:spacing w:after="30" w:lineRule="auto"/>
        <w:rPr>
          <w:color w:val="0e101a"/>
        </w:rPr>
      </w:pPr>
      <w:r w:rsidDel="00000000" w:rsidR="00000000" w:rsidRPr="00000000">
        <w:rPr>
          <w:rtl w:val="0"/>
        </w:rPr>
      </w:r>
    </w:p>
    <w:p w:rsidR="00000000" w:rsidDel="00000000" w:rsidP="00000000" w:rsidRDefault="00000000" w:rsidRPr="00000000" w14:paraId="0000001C">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 w:lineRule="auto"/>
        <w:ind w:left="360" w:hanging="360"/>
        <w:rPr>
          <w:b w:val="1"/>
        </w:rPr>
      </w:pPr>
      <w:r w:rsidDel="00000000" w:rsidR="00000000" w:rsidRPr="00000000">
        <w:rPr>
          <w:b w:val="1"/>
          <w:rtl w:val="0"/>
        </w:rPr>
        <w:t xml:space="preserve">What does equity, diversity, and inclusion (EDI) mean at CIHR? </w:t>
      </w:r>
    </w:p>
    <w:p w:rsidR="00000000" w:rsidDel="00000000" w:rsidP="00000000" w:rsidRDefault="00000000" w:rsidRPr="00000000" w14:paraId="0000001D">
      <w:pPr>
        <w:widowControl w:val="0"/>
        <w:spacing w:after="30" w:lineRule="auto"/>
        <w:rPr/>
      </w:pPr>
      <w:r w:rsidDel="00000000" w:rsidR="00000000" w:rsidRPr="00000000">
        <w:rPr>
          <w:rtl w:val="0"/>
        </w:rPr>
        <w:t xml:space="preserve">CIHR’s commitment to the values and principles of equity, diversity and inclusion and recognize the need for IABs to reflect the diversity of the Canadian population to serve all communities. The composition of the IABs aims to reflect the diversity in the Canadian population to ensure representation of </w:t>
      </w:r>
      <w:r w:rsidDel="00000000" w:rsidR="00000000" w:rsidRPr="00000000">
        <w:rPr>
          <w:color w:val="222222"/>
          <w:rtl w:val="0"/>
        </w:rPr>
        <w:t xml:space="preserve">equity-denied</w:t>
      </w:r>
      <w:r w:rsidDel="00000000" w:rsidR="00000000" w:rsidRPr="00000000">
        <w:rPr>
          <w:rtl w:val="0"/>
        </w:rPr>
        <w:t xml:space="preserve"> groups, Francophones, Indigenous Peoples, LGBTQ2S+ community members and individuals with disabilities. </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30" w:lineRule="auto"/>
        <w:rPr/>
      </w:pPr>
      <w:r w:rsidDel="00000000" w:rsidR="00000000" w:rsidRPr="00000000">
        <w:rPr>
          <w:rtl w:val="0"/>
        </w:rPr>
      </w:r>
    </w:p>
    <w:p w:rsidR="00000000" w:rsidDel="00000000" w:rsidP="00000000" w:rsidRDefault="00000000" w:rsidRPr="00000000" w14:paraId="0000001F">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 w:lineRule="auto"/>
        <w:ind w:left="360" w:hanging="360"/>
        <w:rPr>
          <w:b w:val="1"/>
        </w:rPr>
      </w:pPr>
      <w:r w:rsidDel="00000000" w:rsidR="00000000" w:rsidRPr="00000000">
        <w:rPr>
          <w:b w:val="1"/>
          <w:rtl w:val="0"/>
        </w:rPr>
        <w:t xml:space="preserve">Submitting an application</w:t>
      </w:r>
    </w:p>
    <w:p w:rsidR="00000000" w:rsidDel="00000000" w:rsidP="00000000" w:rsidRDefault="00000000" w:rsidRPr="00000000" w14:paraId="00000020">
      <w:pPr>
        <w:widowControl w:val="0"/>
        <w:spacing w:after="30" w:lineRule="auto"/>
        <w:rPr>
          <w:b w:val="1"/>
        </w:rPr>
      </w:pPr>
      <w:r w:rsidDel="00000000" w:rsidR="00000000" w:rsidRPr="00000000">
        <w:rPr>
          <w:rtl w:val="0"/>
        </w:rPr>
        <w:t xml:space="preserve">We encourage applications from candidates with diverse and unique experiences and backgrounds. As an IAB member, your distinct experiences and perspectives will provide invaluable perspective and insight in shaping Institute priorities, initiatives and activities. </w:t>
      </w:r>
      <w:r w:rsidDel="00000000" w:rsidR="00000000" w:rsidRPr="00000000">
        <w:rPr>
          <w:rtl w:val="0"/>
        </w:rPr>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pacing w:after="30" w:lineRule="auto"/>
        <w:rPr>
          <w:b w:val="1"/>
        </w:rPr>
      </w:pPr>
      <w:r w:rsidDel="00000000" w:rsidR="00000000" w:rsidRPr="00000000">
        <w:rPr>
          <w:rtl w:val="0"/>
        </w:rPr>
      </w:r>
    </w:p>
    <w:p w:rsidR="00000000" w:rsidDel="00000000" w:rsidP="00000000" w:rsidRDefault="00000000" w:rsidRPr="00000000" w14:paraId="00000022">
      <w:pPr>
        <w:pBdr>
          <w:top w:color="d9d9e3" w:space="0" w:sz="0" w:val="none"/>
          <w:left w:color="d9d9e3" w:space="0" w:sz="0" w:val="none"/>
          <w:bottom w:color="d9d9e3" w:space="0" w:sz="0" w:val="none"/>
          <w:right w:color="d9d9e3" w:space="0" w:sz="0" w:val="none"/>
          <w:between w:color="d9d9e3" w:space="0" w:sz="0" w:val="none"/>
        </w:pBdr>
        <w:spacing w:after="30" w:lineRule="auto"/>
        <w:rPr>
          <w:b w:val="1"/>
        </w:rPr>
      </w:pPr>
      <w:r w:rsidDel="00000000" w:rsidR="00000000" w:rsidRPr="00000000">
        <w:rPr>
          <w:b w:val="1"/>
          <w:rtl w:val="0"/>
        </w:rPr>
        <w:t xml:space="preserve">How can I apply for IAB?</w:t>
      </w:r>
    </w:p>
    <w:p w:rsidR="00000000" w:rsidDel="00000000" w:rsidP="00000000" w:rsidRDefault="00000000" w:rsidRPr="00000000" w14:paraId="00000023">
      <w:pPr>
        <w:pBdr>
          <w:top w:color="d9d9e3" w:space="0" w:sz="0" w:val="none"/>
          <w:left w:color="d9d9e3" w:space="0" w:sz="0" w:val="none"/>
          <w:bottom w:color="d9d9e3" w:space="0" w:sz="0" w:val="none"/>
          <w:right w:color="d9d9e3" w:space="0" w:sz="0" w:val="none"/>
          <w:between w:color="d9d9e3" w:space="0" w:sz="0" w:val="none"/>
        </w:pBdr>
        <w:spacing w:after="30" w:lineRule="auto"/>
        <w:rPr/>
      </w:pPr>
      <w:r w:rsidDel="00000000" w:rsidR="00000000" w:rsidRPr="00000000">
        <w:rPr>
          <w:rtl w:val="0"/>
        </w:rPr>
        <w:t xml:space="preserve">Interested applicants can apply through the CIHR's online ResearchNet portal, following the specific guidelines and deadlines.</w:t>
      </w:r>
    </w:p>
    <w:p w:rsidR="00000000" w:rsidDel="00000000" w:rsidP="00000000" w:rsidRDefault="00000000" w:rsidRPr="00000000" w14:paraId="00000024">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30" w:lineRule="auto"/>
        <w:ind w:left="720" w:hanging="360"/>
        <w:rPr/>
      </w:pPr>
      <w:hyperlink r:id="rId11">
        <w:r w:rsidDel="00000000" w:rsidR="00000000" w:rsidRPr="00000000">
          <w:rPr>
            <w:color w:val="0535d2"/>
            <w:u w:val="single"/>
            <w:rtl w:val="0"/>
          </w:rPr>
          <w:t xml:space="preserve">How to Apply to Become an IAB Member</w:t>
        </w:r>
      </w:hyperlink>
      <w:r w:rsidDel="00000000" w:rsidR="00000000" w:rsidRPr="00000000">
        <w:rPr>
          <w:rtl w:val="0"/>
        </w:rPr>
      </w:r>
    </w:p>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between w:color="d9d9e3" w:space="0" w:sz="0" w:val="none"/>
        </w:pBdr>
        <w:spacing w:after="30" w:lineRule="auto"/>
        <w:rPr>
          <w:b w:val="1"/>
        </w:rPr>
      </w:pPr>
      <w:r w:rsidDel="00000000" w:rsidR="00000000" w:rsidRPr="00000000">
        <w:rPr>
          <w:rtl w:val="0"/>
        </w:rPr>
      </w:r>
    </w:p>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between w:color="d9d9e3" w:space="0" w:sz="0" w:val="none"/>
        </w:pBdr>
        <w:spacing w:after="30" w:lineRule="auto"/>
        <w:rPr>
          <w:b w:val="1"/>
        </w:rPr>
      </w:pPr>
      <w:r w:rsidDel="00000000" w:rsidR="00000000" w:rsidRPr="00000000">
        <w:rPr>
          <w:b w:val="1"/>
          <w:rtl w:val="0"/>
        </w:rPr>
        <w:t xml:space="preserve">When are the deadlines for applications?</w:t>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spacing w:after="30" w:lineRule="auto"/>
        <w:rPr/>
      </w:pPr>
      <w:r w:rsidDel="00000000" w:rsidR="00000000" w:rsidRPr="00000000">
        <w:rPr>
          <w:rtl w:val="0"/>
        </w:rPr>
        <w:t xml:space="preserve">The 2024 IAB membership cycle ended on </w:t>
      </w:r>
      <w:r w:rsidDel="00000000" w:rsidR="00000000" w:rsidRPr="00000000">
        <w:rPr>
          <w:b w:val="1"/>
          <w:rtl w:val="0"/>
        </w:rPr>
        <w:t xml:space="preserve">April 25, 2024.</w:t>
      </w:r>
      <w:r w:rsidDel="00000000" w:rsidR="00000000" w:rsidRPr="00000000">
        <w:rPr>
          <w:rtl w:val="0"/>
        </w:rPr>
        <w:t xml:space="preserve"> </w:t>
      </w:r>
    </w:p>
    <w:p w:rsidR="00000000" w:rsidDel="00000000" w:rsidP="00000000" w:rsidRDefault="00000000" w:rsidRPr="00000000" w14:paraId="00000028">
      <w:pPr>
        <w:pBdr>
          <w:top w:color="d9d9e3" w:space="0" w:sz="0" w:val="none"/>
          <w:left w:color="d9d9e3" w:space="0" w:sz="0" w:val="none"/>
          <w:bottom w:color="d9d9e3" w:space="0" w:sz="0" w:val="none"/>
          <w:right w:color="d9d9e3" w:space="0" w:sz="0" w:val="none"/>
          <w:between w:color="d9d9e3" w:space="0" w:sz="0" w:val="none"/>
        </w:pBdr>
        <w:spacing w:after="30" w:lineRule="auto"/>
        <w:rPr/>
      </w:pPr>
      <w:r w:rsidDel="00000000" w:rsidR="00000000" w:rsidRPr="00000000">
        <w:rPr>
          <w:rtl w:val="0"/>
        </w:rPr>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between w:color="d9d9e3" w:space="0" w:sz="0" w:val="none"/>
        </w:pBdr>
        <w:spacing w:after="30" w:lineRule="auto"/>
        <w:rPr>
          <w:b w:val="1"/>
        </w:rPr>
      </w:pPr>
      <w:r w:rsidDel="00000000" w:rsidR="00000000" w:rsidRPr="00000000">
        <w:rPr>
          <w:b w:val="1"/>
          <w:rtl w:val="0"/>
        </w:rPr>
        <w:t xml:space="preserve">Who is eligible to apply to be an IAB member?</w:t>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spacing w:after="30" w:lineRule="auto"/>
        <w:rPr/>
      </w:pPr>
      <w:r w:rsidDel="00000000" w:rsidR="00000000" w:rsidRPr="00000000">
        <w:rPr>
          <w:rtl w:val="0"/>
        </w:rPr>
        <w:t xml:space="preserve">Applications are encouraged from individuals with a range of expertise and experiences. This includes individuals in research and clinical health fields, private and public sectors as well those in industry, ethics, law and non-for-profit organizations. People with lived experiences, patients and their caregivers are also encouraged to apply. Candidate selection by each Institute is based on a number of dynamic factors including relevant expertise and experience, representation and demographic composition. The selection process prioritizes diversity and excellence, to ensure inclusive and well-rounded IAB compositions.</w:t>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pacing w:after="30" w:lineRule="auto"/>
        <w:rPr/>
      </w:pPr>
      <w:r w:rsidDel="00000000" w:rsidR="00000000" w:rsidRPr="00000000">
        <w:rPr>
          <w:rtl w:val="0"/>
        </w:rPr>
      </w:r>
    </w:p>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between w:color="d9d9e3" w:space="0" w:sz="0" w:val="none"/>
        </w:pBdr>
        <w:spacing w:after="30" w:lineRule="auto"/>
        <w:rPr/>
      </w:pPr>
      <w:r w:rsidDel="00000000" w:rsidR="00000000" w:rsidRPr="00000000">
        <w:rPr>
          <w:rtl w:val="0"/>
        </w:rPr>
        <w:t xml:space="preserve">Please click the following link for more details. </w:t>
      </w:r>
    </w:p>
    <w:p w:rsidR="00000000" w:rsidDel="00000000" w:rsidP="00000000" w:rsidRDefault="00000000" w:rsidRPr="00000000" w14:paraId="0000002D">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30" w:lineRule="auto"/>
        <w:ind w:left="720" w:hanging="360"/>
        <w:rPr/>
      </w:pPr>
      <w:hyperlink r:id="rId12">
        <w:r w:rsidDel="00000000" w:rsidR="00000000" w:rsidRPr="00000000">
          <w:rPr>
            <w:color w:val="4a6ee0"/>
            <w:u w:val="single"/>
            <w:rtl w:val="0"/>
          </w:rPr>
          <w:t xml:space="preserve">Selection Criteria</w:t>
        </w:r>
      </w:hyperlink>
      <w:r w:rsidDel="00000000" w:rsidR="00000000" w:rsidRPr="00000000">
        <w:rPr>
          <w:rtl w:val="0"/>
        </w:rPr>
      </w:r>
    </w:p>
    <w:p w:rsidR="00000000" w:rsidDel="00000000" w:rsidP="00000000" w:rsidRDefault="00000000" w:rsidRPr="00000000" w14:paraId="0000002E">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after="30" w:before="0" w:lineRule="auto"/>
        <w:rPr>
          <w:b w:val="1"/>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2F">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 w:lineRule="auto"/>
        <w:ind w:left="360" w:hanging="360"/>
        <w:rPr>
          <w:b w:val="1"/>
        </w:rPr>
      </w:pPr>
      <w:r w:rsidDel="00000000" w:rsidR="00000000" w:rsidRPr="00000000">
        <w:rPr>
          <w:b w:val="1"/>
          <w:color w:val="000000"/>
          <w:rtl w:val="0"/>
        </w:rPr>
        <w:t xml:space="preserve">Research Initiatives &amp; Programs</w:t>
      </w:r>
      <w:r w:rsidDel="00000000" w:rsidR="00000000" w:rsidRPr="00000000">
        <w:rPr>
          <w:rtl w:val="0"/>
        </w:rPr>
      </w:r>
    </w:p>
    <w:p w:rsidR="00000000" w:rsidDel="00000000" w:rsidP="00000000" w:rsidRDefault="00000000" w:rsidRPr="00000000" w14:paraId="00000030">
      <w:pPr>
        <w:pBdr>
          <w:top w:color="d9d9e3" w:space="0" w:sz="0" w:val="none"/>
          <w:left w:color="d9d9e3" w:space="0" w:sz="0" w:val="none"/>
          <w:bottom w:color="d9d9e3" w:space="0" w:sz="0" w:val="none"/>
          <w:right w:color="d9d9e3" w:space="0" w:sz="0" w:val="none"/>
          <w:between w:color="d9d9e3" w:space="0" w:sz="0" w:val="none"/>
        </w:pBdr>
        <w:spacing w:after="30" w:lineRule="auto"/>
        <w:rPr>
          <w:b w:val="1"/>
        </w:rPr>
      </w:pPr>
      <w:r w:rsidDel="00000000" w:rsidR="00000000" w:rsidRPr="00000000">
        <w:rPr>
          <w:b w:val="1"/>
          <w:rtl w:val="0"/>
        </w:rPr>
        <w:t xml:space="preserve">What research areas does CIHR support?</w:t>
      </w:r>
    </w:p>
    <w:p w:rsidR="00000000" w:rsidDel="00000000" w:rsidP="00000000" w:rsidRDefault="00000000" w:rsidRPr="00000000" w14:paraId="00000031">
      <w:pPr>
        <w:pBdr>
          <w:top w:color="d9d9e3" w:space="0" w:sz="0" w:val="none"/>
          <w:left w:color="d9d9e3" w:space="0" w:sz="0" w:val="none"/>
          <w:bottom w:color="d9d9e3" w:space="0" w:sz="0" w:val="none"/>
          <w:right w:color="d9d9e3" w:space="0" w:sz="0" w:val="none"/>
          <w:between w:color="d9d9e3" w:space="0" w:sz="0" w:val="none"/>
        </w:pBdr>
        <w:spacing w:after="30" w:lineRule="auto"/>
        <w:rPr>
          <w:color w:val="0e101a"/>
        </w:rPr>
      </w:pPr>
      <w:r w:rsidDel="00000000" w:rsidR="00000000" w:rsidRPr="00000000">
        <w:rPr>
          <w:color w:val="0e101a"/>
          <w:rtl w:val="0"/>
        </w:rPr>
        <w:t xml:space="preserve">CIHR supports excellence across all four pillars of health research: </w:t>
      </w:r>
      <w:hyperlink r:id="rId13">
        <w:r w:rsidDel="00000000" w:rsidR="00000000" w:rsidRPr="00000000">
          <w:rPr>
            <w:color w:val="4a6ee0"/>
            <w:u w:val="single"/>
            <w:rtl w:val="0"/>
          </w:rPr>
          <w:t xml:space="preserve">biomedical</w:t>
        </w:r>
      </w:hyperlink>
      <w:r w:rsidDel="00000000" w:rsidR="00000000" w:rsidRPr="00000000">
        <w:rPr>
          <w:color w:val="0e101a"/>
          <w:rtl w:val="0"/>
        </w:rPr>
        <w:t xml:space="preserve">, </w:t>
      </w:r>
      <w:hyperlink r:id="rId14">
        <w:r w:rsidDel="00000000" w:rsidR="00000000" w:rsidRPr="00000000">
          <w:rPr>
            <w:color w:val="4a6ee0"/>
            <w:u w:val="single"/>
            <w:rtl w:val="0"/>
          </w:rPr>
          <w:t xml:space="preserve">clinical</w:t>
        </w:r>
      </w:hyperlink>
      <w:r w:rsidDel="00000000" w:rsidR="00000000" w:rsidRPr="00000000">
        <w:rPr>
          <w:color w:val="0e101a"/>
          <w:rtl w:val="0"/>
        </w:rPr>
        <w:t xml:space="preserve">, </w:t>
      </w:r>
      <w:hyperlink r:id="rId15">
        <w:r w:rsidDel="00000000" w:rsidR="00000000" w:rsidRPr="00000000">
          <w:rPr>
            <w:color w:val="4a6ee0"/>
            <w:u w:val="single"/>
            <w:rtl w:val="0"/>
          </w:rPr>
          <w:t xml:space="preserve">health systems services</w:t>
        </w:r>
      </w:hyperlink>
      <w:r w:rsidDel="00000000" w:rsidR="00000000" w:rsidRPr="00000000">
        <w:rPr>
          <w:color w:val="0e101a"/>
          <w:rtl w:val="0"/>
        </w:rPr>
        <w:t xml:space="preserve">, and </w:t>
      </w:r>
      <w:hyperlink r:id="rId16">
        <w:r w:rsidDel="00000000" w:rsidR="00000000" w:rsidRPr="00000000">
          <w:rPr>
            <w:color w:val="4a6ee0"/>
            <w:u w:val="single"/>
            <w:rtl w:val="0"/>
          </w:rPr>
          <w:t xml:space="preserve">population health</w:t>
        </w:r>
      </w:hyperlink>
      <w:r w:rsidDel="00000000" w:rsidR="00000000" w:rsidRPr="00000000">
        <w:rPr>
          <w:color w:val="0e101a"/>
          <w:rtl w:val="0"/>
        </w:rPr>
        <w:t xml:space="preserve">.</w:t>
      </w:r>
    </w:p>
    <w:p w:rsidR="00000000" w:rsidDel="00000000" w:rsidP="00000000" w:rsidRDefault="00000000" w:rsidRPr="00000000" w14:paraId="00000032">
      <w:pPr>
        <w:pBdr>
          <w:top w:color="d9d9e3" w:space="0" w:sz="0" w:val="none"/>
          <w:left w:color="d9d9e3" w:space="0" w:sz="0" w:val="none"/>
          <w:bottom w:color="d9d9e3" w:space="0" w:sz="0" w:val="none"/>
          <w:right w:color="d9d9e3" w:space="0" w:sz="0" w:val="none"/>
          <w:between w:color="d9d9e3" w:space="0" w:sz="0" w:val="none"/>
        </w:pBdr>
        <w:spacing w:after="30" w:lineRule="auto"/>
        <w:rPr>
          <w:color w:val="0e101a"/>
        </w:rPr>
      </w:pPr>
      <w:r w:rsidDel="00000000" w:rsidR="00000000" w:rsidRPr="00000000">
        <w:rPr>
          <w:rtl w:val="0"/>
        </w:rPr>
      </w:r>
    </w:p>
    <w:p w:rsidR="00000000" w:rsidDel="00000000" w:rsidP="00000000" w:rsidRDefault="00000000" w:rsidRPr="00000000" w14:paraId="00000033">
      <w:pPr>
        <w:pBdr>
          <w:top w:color="d9d9e3" w:space="0" w:sz="0" w:val="none"/>
          <w:left w:color="d9d9e3" w:space="0" w:sz="0" w:val="none"/>
          <w:bottom w:color="d9d9e3" w:space="0" w:sz="0" w:val="none"/>
          <w:right w:color="d9d9e3" w:space="0" w:sz="0" w:val="none"/>
          <w:between w:color="d9d9e3" w:space="0" w:sz="0" w:val="none"/>
        </w:pBdr>
        <w:spacing w:after="30" w:lineRule="auto"/>
        <w:rPr>
          <w:color w:val="0e101a"/>
        </w:rPr>
      </w:pPr>
      <w:r w:rsidDel="00000000" w:rsidR="00000000" w:rsidRPr="00000000">
        <w:rPr>
          <w:color w:val="0e101a"/>
          <w:rtl w:val="0"/>
        </w:rPr>
        <w:t xml:space="preserve">As stated in the</w:t>
      </w:r>
      <w:r w:rsidDel="00000000" w:rsidR="00000000" w:rsidRPr="00000000">
        <w:rPr>
          <w:color w:val="4a6ee0"/>
          <w:u w:val="single"/>
          <w:rtl w:val="0"/>
        </w:rPr>
        <w:t xml:space="preserve"> </w:t>
      </w:r>
      <w:hyperlink r:id="rId17">
        <w:r w:rsidDel="00000000" w:rsidR="00000000" w:rsidRPr="00000000">
          <w:rPr>
            <w:color w:val="4a6ee0"/>
            <w:u w:val="single"/>
            <w:rtl w:val="0"/>
          </w:rPr>
          <w:t xml:space="preserve">CIHR Act</w:t>
        </w:r>
      </w:hyperlink>
      <w:r w:rsidDel="00000000" w:rsidR="00000000" w:rsidRPr="00000000">
        <w:rPr>
          <w:color w:val="0e101a"/>
          <w:rtl w:val="0"/>
        </w:rPr>
        <w:t xml:space="preserve">, CIHR's mandate is to "excel, according to internationally accepted standards of scientific excellence, in the creation of new knowledge and its translation into improved health for Canadians, more effective health services and products, and a strengthened Canadian health care system."</w:t>
      </w:r>
    </w:p>
    <w:p w:rsidR="00000000" w:rsidDel="00000000" w:rsidP="00000000" w:rsidRDefault="00000000" w:rsidRPr="00000000" w14:paraId="00000034">
      <w:pPr>
        <w:pBdr>
          <w:top w:color="d9d9e3" w:space="0" w:sz="0" w:val="none"/>
          <w:left w:color="d9d9e3" w:space="0" w:sz="0" w:val="none"/>
          <w:bottom w:color="d9d9e3" w:space="0" w:sz="0" w:val="none"/>
          <w:right w:color="d9d9e3" w:space="0" w:sz="0" w:val="none"/>
          <w:between w:color="d9d9e3" w:space="0" w:sz="0" w:val="none"/>
        </w:pBdr>
        <w:spacing w:after="30" w:lineRule="auto"/>
        <w:rPr>
          <w:color w:val="0e101a"/>
        </w:rPr>
      </w:pPr>
      <w:r w:rsidDel="00000000" w:rsidR="00000000" w:rsidRPr="00000000">
        <w:rPr>
          <w:rtl w:val="0"/>
        </w:rPr>
      </w:r>
    </w:p>
    <w:p w:rsidR="00000000" w:rsidDel="00000000" w:rsidP="00000000" w:rsidRDefault="00000000" w:rsidRPr="00000000" w14:paraId="00000035">
      <w:pPr>
        <w:pBdr>
          <w:top w:color="d9d9e3" w:space="0" w:sz="0" w:val="none"/>
          <w:left w:color="d9d9e3" w:space="0" w:sz="0" w:val="none"/>
          <w:bottom w:color="d9d9e3" w:space="0" w:sz="0" w:val="none"/>
          <w:right w:color="d9d9e3" w:space="0" w:sz="0" w:val="none"/>
          <w:between w:color="d9d9e3" w:space="0" w:sz="0" w:val="none"/>
        </w:pBdr>
        <w:spacing w:after="30" w:lineRule="auto"/>
        <w:rPr>
          <w:b w:val="1"/>
        </w:rPr>
      </w:pPr>
      <w:r w:rsidDel="00000000" w:rsidR="00000000" w:rsidRPr="00000000">
        <w:rPr>
          <w:b w:val="1"/>
          <w:rtl w:val="0"/>
        </w:rPr>
        <w:t xml:space="preserve">Can early career researchers and trainees join the IABs? </w:t>
      </w:r>
    </w:p>
    <w:p w:rsidR="00000000" w:rsidDel="00000000" w:rsidP="00000000" w:rsidRDefault="00000000" w:rsidRPr="00000000" w14:paraId="00000036">
      <w:pPr>
        <w:pBdr>
          <w:top w:color="d9d9e3" w:space="0" w:sz="0" w:val="none"/>
          <w:left w:color="d9d9e3" w:space="0" w:sz="0" w:val="none"/>
          <w:bottom w:color="d9d9e3" w:space="0" w:sz="0" w:val="none"/>
          <w:right w:color="d9d9e3" w:space="0" w:sz="0" w:val="none"/>
          <w:between w:color="d9d9e3" w:space="0" w:sz="0" w:val="none"/>
        </w:pBdr>
        <w:spacing w:after="30" w:lineRule="auto"/>
        <w:rPr/>
      </w:pPr>
      <w:r w:rsidDel="00000000" w:rsidR="00000000" w:rsidRPr="00000000">
        <w:rPr>
          <w:rtl w:val="0"/>
        </w:rPr>
        <w:t xml:space="preserve">Early career researchers and trainees are encouraged to apply to the IABs. CIHR offers programs such as the Reviewer in Training Program. You can find more details from the following link.  </w:t>
      </w:r>
    </w:p>
    <w:p w:rsidR="00000000" w:rsidDel="00000000" w:rsidP="00000000" w:rsidRDefault="00000000" w:rsidRPr="00000000" w14:paraId="00000037">
      <w:pPr>
        <w:pStyle w:val="Heading1"/>
        <w:keepNext w:val="0"/>
        <w:keepLines w:val="0"/>
        <w:pBdr>
          <w:top w:color="d9d9e3" w:space="0" w:sz="0" w:val="none"/>
          <w:left w:color="d9d9e3" w:space="0" w:sz="0" w:val="none"/>
          <w:bottom w:color="d9d9e3" w:space="0" w:sz="0" w:val="none"/>
          <w:right w:color="d9d9e3" w:space="0" w:sz="0" w:val="none"/>
          <w:between w:color="d9d9e3" w:space="0" w:sz="0" w:val="none"/>
        </w:pBdr>
        <w:spacing w:after="30" w:before="0" w:lineRule="auto"/>
        <w:jc w:val="center"/>
        <w:rPr>
          <w:sz w:val="22"/>
          <w:szCs w:val="22"/>
        </w:rPr>
      </w:pPr>
      <w:bookmarkStart w:colFirst="0" w:colLast="0" w:name="_heading=h.30j0zll" w:id="1"/>
      <w:bookmarkEnd w:id="1"/>
      <w:hyperlink r:id="rId18">
        <w:r w:rsidDel="00000000" w:rsidR="00000000" w:rsidRPr="00000000">
          <w:rPr>
            <w:color w:val="4a6ee0"/>
            <w:sz w:val="22"/>
            <w:szCs w:val="22"/>
            <w:u w:val="single"/>
            <w:rtl w:val="0"/>
          </w:rPr>
          <w:t xml:space="preserve">Opportunities for Early Career Researchers</w:t>
        </w:r>
      </w:hyperlink>
      <w:r w:rsidDel="00000000" w:rsidR="00000000" w:rsidRPr="00000000">
        <w:rPr>
          <w:rtl w:val="0"/>
        </w:rPr>
      </w:r>
    </w:p>
    <w:p w:rsidR="00000000" w:rsidDel="00000000" w:rsidP="00000000" w:rsidRDefault="00000000" w:rsidRPr="00000000" w14:paraId="00000038">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pacing w:after="30" w:before="0" w:lineRule="auto"/>
        <w:rPr>
          <w:b w:val="1"/>
          <w:color w:val="000000"/>
          <w:sz w:val="22"/>
          <w:szCs w:val="22"/>
        </w:rPr>
      </w:pPr>
      <w:bookmarkStart w:colFirst="0" w:colLast="0" w:name="_heading=h.1fob9te" w:id="2"/>
      <w:bookmarkEnd w:id="2"/>
      <w:r w:rsidDel="00000000" w:rsidR="00000000" w:rsidRPr="00000000">
        <w:rPr>
          <w:rtl w:val="0"/>
        </w:rPr>
      </w:r>
    </w:p>
    <w:p w:rsidR="00000000" w:rsidDel="00000000" w:rsidP="00000000" w:rsidRDefault="00000000" w:rsidRPr="00000000" w14:paraId="00000039">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30" w:lineRule="auto"/>
        <w:ind w:left="360" w:hanging="360"/>
        <w:rPr/>
      </w:pPr>
      <w:r w:rsidDel="00000000" w:rsidR="00000000" w:rsidRPr="00000000">
        <w:rPr>
          <w:b w:val="1"/>
          <w:color w:val="000000"/>
          <w:rtl w:val="0"/>
        </w:rPr>
        <w:t xml:space="preserve">General questions</w:t>
      </w:r>
      <w:r w:rsidDel="00000000" w:rsidR="00000000" w:rsidRPr="00000000">
        <w:rPr>
          <w:rtl w:val="0"/>
        </w:rPr>
      </w:r>
    </w:p>
    <w:p w:rsidR="00000000" w:rsidDel="00000000" w:rsidP="00000000" w:rsidRDefault="00000000" w:rsidRPr="00000000" w14:paraId="0000003A">
      <w:pPr>
        <w:pBdr>
          <w:top w:color="d9d9e3" w:space="0" w:sz="0" w:val="none"/>
          <w:left w:color="d9d9e3" w:space="0" w:sz="0" w:val="none"/>
          <w:bottom w:color="d9d9e3" w:space="0" w:sz="0" w:val="none"/>
          <w:right w:color="d9d9e3" w:space="0" w:sz="0" w:val="none"/>
          <w:between w:color="d9d9e3" w:space="0" w:sz="0" w:val="none"/>
        </w:pBdr>
        <w:spacing w:after="30" w:lineRule="auto"/>
        <w:rPr>
          <w:b w:val="1"/>
        </w:rPr>
      </w:pPr>
      <w:r w:rsidDel="00000000" w:rsidR="00000000" w:rsidRPr="00000000">
        <w:rPr>
          <w:b w:val="1"/>
          <w:rtl w:val="0"/>
        </w:rPr>
        <w:t xml:space="preserve">How can I get updates on CIHR's latest initiatives and news?</w:t>
      </w:r>
    </w:p>
    <w:p w:rsidR="00000000" w:rsidDel="00000000" w:rsidP="00000000" w:rsidRDefault="00000000" w:rsidRPr="00000000" w14:paraId="0000003B">
      <w:pPr>
        <w:pBdr>
          <w:top w:color="d9d9e3" w:space="0" w:sz="0" w:val="none"/>
          <w:left w:color="d9d9e3" w:space="0" w:sz="0" w:val="none"/>
          <w:bottom w:color="d9d9e3" w:space="0" w:sz="0" w:val="none"/>
          <w:right w:color="d9d9e3" w:space="0" w:sz="0" w:val="none"/>
          <w:between w:color="d9d9e3" w:space="0" w:sz="0" w:val="none"/>
        </w:pBdr>
        <w:spacing w:after="30" w:lineRule="auto"/>
        <w:rPr/>
      </w:pPr>
      <w:r w:rsidDel="00000000" w:rsidR="00000000" w:rsidRPr="00000000">
        <w:rPr>
          <w:rtl w:val="0"/>
        </w:rPr>
        <w:t xml:space="preserve">Stay updated by subscribing to our newsletter, following us on social media, or visiting the </w:t>
      </w:r>
      <w:hyperlink r:id="rId19">
        <w:r w:rsidDel="00000000" w:rsidR="00000000" w:rsidRPr="00000000">
          <w:rPr>
            <w:color w:val="1155cc"/>
            <w:u w:val="single"/>
            <w:rtl w:val="0"/>
          </w:rPr>
          <w:t xml:space="preserve">'CIHR News'</w:t>
        </w:r>
      </w:hyperlink>
      <w:r w:rsidDel="00000000" w:rsidR="00000000" w:rsidRPr="00000000">
        <w:rPr>
          <w:rtl w:val="0"/>
        </w:rPr>
        <w:t xml:space="preserve"> section of our website.</w:t>
      </w:r>
    </w:p>
    <w:p w:rsidR="00000000" w:rsidDel="00000000" w:rsidP="00000000" w:rsidRDefault="00000000" w:rsidRPr="00000000" w14:paraId="0000003C">
      <w:pPr>
        <w:pBdr>
          <w:top w:color="d9d9e3" w:space="0" w:sz="0" w:val="none"/>
          <w:left w:color="d9d9e3" w:space="0" w:sz="0" w:val="none"/>
          <w:bottom w:color="d9d9e3" w:space="0" w:sz="0" w:val="none"/>
          <w:right w:color="d9d9e3" w:space="0" w:sz="0" w:val="none"/>
          <w:between w:color="d9d9e3" w:space="0" w:sz="0" w:val="none"/>
        </w:pBdr>
        <w:spacing w:after="30" w:lineRule="auto"/>
        <w:rPr>
          <w:b w:val="1"/>
        </w:rPr>
      </w:pPr>
      <w:r w:rsidDel="00000000" w:rsidR="00000000" w:rsidRPr="00000000">
        <w:rPr>
          <w:rtl w:val="0"/>
        </w:rPr>
      </w:r>
    </w:p>
    <w:p w:rsidR="00000000" w:rsidDel="00000000" w:rsidP="00000000" w:rsidRDefault="00000000" w:rsidRPr="00000000" w14:paraId="0000003D">
      <w:pPr>
        <w:pBdr>
          <w:top w:color="d9d9e3" w:space="0" w:sz="0" w:val="none"/>
          <w:left w:color="d9d9e3" w:space="0" w:sz="0" w:val="none"/>
          <w:bottom w:color="d9d9e3" w:space="0" w:sz="0" w:val="none"/>
          <w:right w:color="d9d9e3" w:space="0" w:sz="0" w:val="none"/>
          <w:between w:color="d9d9e3" w:space="0" w:sz="0" w:val="none"/>
        </w:pBdr>
        <w:spacing w:after="30" w:lineRule="auto"/>
        <w:rPr>
          <w:color w:val="295376"/>
          <w:highlight w:val="white"/>
        </w:rPr>
      </w:pPr>
      <w:r w:rsidDel="00000000" w:rsidR="00000000" w:rsidRPr="00000000">
        <w:rPr>
          <w:rtl w:val="0"/>
        </w:rPr>
      </w:r>
    </w:p>
    <w:sectPr>
      <w:headerReference r:id="rId20" w:type="default"/>
      <w:footerReference r:id="rId21" w:type="default"/>
      <w:pgSz w:h="16834" w:w="11909" w:orient="portrait"/>
      <w:pgMar w:bottom="1440" w:top="1440" w:left="171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pacing w:after="0" w:before="0" w:line="240" w:lineRule="auto"/>
      <w:rPr/>
    </w:pPr>
    <w:bookmarkStart w:colFirst="0" w:colLast="0" w:name="_heading=h.3znysh7" w:id="3"/>
    <w:bookmarkEnd w:id="3"/>
    <w:r w:rsidDel="00000000" w:rsidR="00000000" w:rsidRPr="00000000">
      <w:rPr>
        <w:rFonts w:ascii="Calibri" w:cs="Calibri" w:eastAsia="Calibri" w:hAnsi="Calibri"/>
        <w:b w:val="1"/>
        <w:sz w:val="40"/>
        <w:szCs w:val="40"/>
        <w:rtl w:val="0"/>
      </w:rPr>
      <w:t xml:space="preserve">FAQs </w:t>
    </w:r>
    <w:r w:rsidDel="00000000" w:rsidR="00000000" w:rsidRPr="00000000">
      <w:rPr>
        <w:rFonts w:ascii="Calibri" w:cs="Calibri" w:eastAsia="Calibri" w:hAnsi="Calibri"/>
        <w:b w:val="1"/>
        <w:sz w:val="22"/>
        <w:szCs w:val="22"/>
        <w:rtl w:val="0"/>
      </w:rPr>
      <w:t xml:space="preserve">for the 2024 Institute Advisory Boards (IAB) Membership Cycle</w:t>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3333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cihr-irsc.gc.ca/e/50722.html" TargetMode="External"/><Relationship Id="rId10" Type="http://schemas.openxmlformats.org/officeDocument/2006/relationships/hyperlink" Target="https://cihr-irsc.gc.ca/e/49542.html" TargetMode="External"/><Relationship Id="rId21" Type="http://schemas.openxmlformats.org/officeDocument/2006/relationships/footer" Target="footer1.xml"/><Relationship Id="rId13" Type="http://schemas.openxmlformats.org/officeDocument/2006/relationships/hyperlink" Target="https://cihr-irsc.gc.ca/e/34190.html#r7" TargetMode="External"/><Relationship Id="rId12" Type="http://schemas.openxmlformats.org/officeDocument/2006/relationships/hyperlink" Target="https://cihr-irsc.gc.ca/e/2296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ihr-irsc.gc.ca/e/18156.html" TargetMode="External"/><Relationship Id="rId15" Type="http://schemas.openxmlformats.org/officeDocument/2006/relationships/hyperlink" Target="https://cihr-irsc.gc.ca/e/34190.html#r4" TargetMode="External"/><Relationship Id="rId14" Type="http://schemas.openxmlformats.org/officeDocument/2006/relationships/hyperlink" Target="https://cihr-irsc.gc.ca/e/34190.html#r3" TargetMode="External"/><Relationship Id="rId17" Type="http://schemas.openxmlformats.org/officeDocument/2006/relationships/hyperlink" Target="http://laws-lois.justice.gc.ca/eng/acts/C-18.1/FullText.html" TargetMode="External"/><Relationship Id="rId16" Type="http://schemas.openxmlformats.org/officeDocument/2006/relationships/hyperlink" Target="https://cihr-irsc.gc.ca/e/34190.html#r5" TargetMode="External"/><Relationship Id="rId5" Type="http://schemas.openxmlformats.org/officeDocument/2006/relationships/styles" Target="styles.xml"/><Relationship Id="rId19" Type="http://schemas.openxmlformats.org/officeDocument/2006/relationships/hyperlink" Target="https://cihr-irsc.gc.ca/e/37796.html" TargetMode="External"/><Relationship Id="rId6" Type="http://schemas.openxmlformats.org/officeDocument/2006/relationships/customXml" Target="../customXML/item1.xml"/><Relationship Id="rId18" Type="http://schemas.openxmlformats.org/officeDocument/2006/relationships/hyperlink" Target="https://cihr-irsc.gc.ca/e/52291.html" TargetMode="External"/><Relationship Id="rId7" Type="http://schemas.openxmlformats.org/officeDocument/2006/relationships/hyperlink" Target="http://laws-lois.justice.gc.ca/eng/acts/C-18.1/index.html" TargetMode="External"/><Relationship Id="rId8" Type="http://schemas.openxmlformats.org/officeDocument/2006/relationships/hyperlink" Target="https://www.linkedin.com/posts/canadian-institutes-of-health-research_research-for-a-healthier-canada-one-of-the-activity-7123043430863183873-MFOy?utm_source=share&amp;utm_medium=member_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Kgf7/mWfS4Hrlsd8kVrZSYLIsA==">CgMxLjAyCGguZ2pkZ3hzMgloLjMwajB6bGwyCWguMWZvYjl0ZTIJaC4zem55c2g3OAByITFtTmFtNEdUYWNIeUNjalZ1aDh6VHVGS3g1WGVKekUzUw==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