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0E7606">
        <w:t>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AC1BE7">
        <w:rPr>
          <w:rFonts w:cs="Times New Roman"/>
          <w:bCs/>
          <w:sz w:val="24"/>
          <w:szCs w:val="36"/>
        </w:rPr>
        <w:t>Fundamentals of</w:t>
      </w:r>
      <w:r w:rsidR="001813DE">
        <w:rPr>
          <w:rFonts w:cs="Times New Roman"/>
          <w:bCs/>
          <w:sz w:val="24"/>
          <w:szCs w:val="36"/>
        </w:rPr>
        <w:t xml:space="preserve"> Environmental Sciences</w:t>
      </w:r>
      <w:r w:rsidR="006305E5">
        <w:rPr>
          <w:rFonts w:cs="Times New Roman"/>
          <w:bCs/>
          <w:sz w:val="24"/>
          <w:szCs w:val="36"/>
        </w:rPr>
        <w:t xml:space="preserve"> ENVS*1</w:t>
      </w:r>
      <w:r w:rsidR="00AC1BE7">
        <w:rPr>
          <w:rFonts w:cs="Times New Roman"/>
          <w:bCs/>
          <w:sz w:val="24"/>
          <w:szCs w:val="36"/>
        </w:rPr>
        <w:t>100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w:t>
      </w:r>
      <w:r w:rsidR="00AC1BE7">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 xml:space="preserve">Lecture - Mon, Weds, Fri 3:30pm-4:20pm </w:t>
      </w:r>
      <w:r w:rsidR="000E7606">
        <w:rPr>
          <w:rFonts w:cs="Times New Roman"/>
          <w:bCs/>
          <w:color w:val="000000"/>
          <w:sz w:val="24"/>
          <w:szCs w:val="24"/>
        </w:rPr>
        <w:t>ROZH 103</w:t>
      </w:r>
    </w:p>
    <w:p w:rsidR="005C21C4" w:rsidRPr="00A5304A" w:rsidRDefault="005C21C4" w:rsidP="00AC1BE7">
      <w:pPr>
        <w:widowControl w:val="0"/>
        <w:autoSpaceDE w:val="0"/>
        <w:autoSpaceDN w:val="0"/>
        <w:adjustRightInd w:val="0"/>
        <w:spacing w:after="0"/>
        <w:ind w:left="2880"/>
        <w:rPr>
          <w:sz w:val="24"/>
          <w:szCs w:val="24"/>
        </w:rPr>
      </w:pPr>
    </w:p>
    <w:p w:rsidR="00A5304A" w:rsidRPr="00A5304A" w:rsidRDefault="00A5304A" w:rsidP="00A5304A">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0E7606" w:rsidRDefault="000E7606" w:rsidP="000E7606">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Names: Dr. Shelley Hunt and Dr. Neil Rooney </w:t>
      </w:r>
    </w:p>
    <w:p w:rsidR="000E7606" w:rsidRDefault="000E7606" w:rsidP="000E7606">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 Email: shunt@uoguelph.ca and nrooney@uoguelph.ca</w:t>
      </w:r>
    </w:p>
    <w:p w:rsidR="000E7606" w:rsidRDefault="000E7606" w:rsidP="000E7606">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Office location and office hours:  Dr. Hunt - Rm. 220 Alexander Hall</w:t>
      </w:r>
    </w:p>
    <w:p w:rsidR="000E7606" w:rsidRDefault="000E7606" w:rsidP="000E7606">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Office Hours: T, </w:t>
      </w:r>
      <w:proofErr w:type="spellStart"/>
      <w:r>
        <w:rPr>
          <w:rFonts w:cs="Times New Roman"/>
          <w:bCs/>
          <w:color w:val="000000"/>
          <w:sz w:val="24"/>
          <w:szCs w:val="24"/>
        </w:rPr>
        <w:t>Th</w:t>
      </w:r>
      <w:proofErr w:type="spellEnd"/>
      <w:r>
        <w:rPr>
          <w:rFonts w:cs="Times New Roman"/>
          <w:bCs/>
          <w:color w:val="000000"/>
          <w:sz w:val="24"/>
          <w:szCs w:val="24"/>
        </w:rPr>
        <w:t xml:space="preserve"> 2:00pm-3:30pm</w:t>
      </w:r>
    </w:p>
    <w:p w:rsidR="000E7606" w:rsidRDefault="000E7606" w:rsidP="000E7606">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Dr. Rooney – Rm. 2107 E.C. Bovey Building</w:t>
      </w:r>
    </w:p>
    <w:p w:rsidR="000E7606" w:rsidRDefault="000E7606" w:rsidP="000E7606">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proofErr w:type="gramStart"/>
      <w:r>
        <w:rPr>
          <w:rFonts w:cs="Times New Roman"/>
          <w:bCs/>
          <w:color w:val="000000"/>
          <w:sz w:val="24"/>
          <w:szCs w:val="24"/>
        </w:rPr>
        <w:t>Office Hours by appointment.</w:t>
      </w:r>
      <w:proofErr w:type="gramEnd"/>
    </w:p>
    <w:p w:rsidR="00344E45" w:rsidRPr="00120B7B" w:rsidRDefault="00344E45" w:rsidP="00344E45">
      <w:pPr>
        <w:autoSpaceDE w:val="0"/>
        <w:autoSpaceDN w:val="0"/>
        <w:adjustRightInd w:val="0"/>
        <w:spacing w:after="0" w:line="240" w:lineRule="auto"/>
        <w:rPr>
          <w:rFonts w:cs="Times New Roman"/>
          <w:bCs/>
          <w:color w:val="000000"/>
          <w:sz w:val="24"/>
          <w:szCs w:val="24"/>
        </w:rPr>
      </w:pPr>
    </w:p>
    <w:p w:rsidR="00EB770C" w:rsidRDefault="00EB770C"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10B22">
        <w:rPr>
          <w:rFonts w:cs="Times New Roman"/>
          <w:bCs/>
          <w:color w:val="000000"/>
          <w:sz w:val="24"/>
          <w:szCs w:val="24"/>
        </w:rPr>
        <w:t xml:space="preserve"> None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lastRenderedPageBreak/>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2185"/>
        <w:gridCol w:w="4113"/>
      </w:tblGrid>
      <w:tr w:rsidR="000E7606" w:rsidTr="000E7606">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b/>
              </w:rPr>
            </w:pPr>
            <w:r>
              <w:rPr>
                <w:b/>
              </w:rPr>
              <w:t>From</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b/>
              </w:rPr>
            </w:pPr>
            <w:r>
              <w:rPr>
                <w:b/>
              </w:rPr>
              <w:t>To</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b/>
              </w:rPr>
            </w:pPr>
            <w:r>
              <w:rPr>
                <w:b/>
              </w:rPr>
              <w:t>Lecture Topic</w:t>
            </w:r>
          </w:p>
        </w:tc>
      </w:tr>
      <w:tr w:rsidR="000E7606" w:rsidTr="000E7606">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12 September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23 September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Experiment design</w:t>
            </w:r>
          </w:p>
        </w:tc>
      </w:tr>
      <w:tr w:rsidR="000E7606" w:rsidTr="000E7606">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26 September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7 October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rPr>
                <w:rFonts w:eastAsia="Times New Roman" w:cs="Times New Roman"/>
                <w:color w:val="000000"/>
              </w:rPr>
              <w:t>How science is done</w:t>
            </w:r>
          </w:p>
        </w:tc>
      </w:tr>
      <w:tr w:rsidR="000E7606" w:rsidTr="000E7606">
        <w:trPr>
          <w:trHeight w:val="293"/>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12 October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rFonts w:eastAsia="Times New Roman" w:cs="Times New Roman"/>
                <w:color w:val="000000"/>
              </w:rPr>
            </w:pPr>
            <w:r>
              <w:t>21 October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rFonts w:eastAsia="Times New Roman" w:cs="Times New Roman"/>
                <w:color w:val="000000"/>
              </w:rPr>
            </w:pPr>
            <w:r>
              <w:rPr>
                <w:rFonts w:eastAsia="Times New Roman" w:cs="Times New Roman"/>
                <w:color w:val="000000"/>
              </w:rPr>
              <w:t>Philosophy of science</w:t>
            </w:r>
          </w:p>
        </w:tc>
      </w:tr>
      <w:tr w:rsidR="000E7606" w:rsidTr="000E7606">
        <w:trPr>
          <w:trHeight w:val="292"/>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24 October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4 November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rPr>
                <w:rFonts w:eastAsia="Times New Roman" w:cs="Times New Roman"/>
                <w:color w:val="000000"/>
              </w:rPr>
            </w:pPr>
            <w:r>
              <w:t>Environmental ethics</w:t>
            </w:r>
          </w:p>
        </w:tc>
      </w:tr>
      <w:tr w:rsidR="000E7606" w:rsidTr="000E7606">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7 November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25 November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Case studies and guest lectures</w:t>
            </w:r>
          </w:p>
        </w:tc>
      </w:tr>
      <w:tr w:rsidR="000E7606" w:rsidTr="000E7606">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28 November</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2 December</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6" w:rsidRDefault="000E7606">
            <w:pPr>
              <w:tabs>
                <w:tab w:val="left" w:pos="1843"/>
              </w:tabs>
            </w:pPr>
            <w:r>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66562E" w:rsidRPr="0066562E" w:rsidRDefault="00AC1BE7"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210B22" w:rsidRDefault="00210B22" w:rsidP="00C03F89">
      <w:pPr>
        <w:pStyle w:val="Heading3"/>
      </w:pPr>
    </w:p>
    <w:p w:rsidR="00210B22" w:rsidRDefault="00210B22" w:rsidP="00C03F89">
      <w:pPr>
        <w:pStyle w:val="Heading3"/>
      </w:pPr>
    </w:p>
    <w:p w:rsidR="00210B22" w:rsidRDefault="00210B22" w:rsidP="00C03F89">
      <w:pPr>
        <w:pStyle w:val="Heading3"/>
      </w:pPr>
    </w:p>
    <w:p w:rsidR="00210B22" w:rsidRDefault="00210B22" w:rsidP="00C03F89">
      <w:pPr>
        <w:pStyle w:val="Heading3"/>
      </w:pPr>
    </w:p>
    <w:p w:rsidR="00210B22" w:rsidRDefault="00210B22" w:rsidP="00C03F89">
      <w:pPr>
        <w:pStyle w:val="Heading3"/>
      </w:pPr>
    </w:p>
    <w:p w:rsidR="00210B22" w:rsidRDefault="00210B22" w:rsidP="00C03F89">
      <w:pPr>
        <w:pStyle w:val="Heading3"/>
      </w:pPr>
    </w:p>
    <w:p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0E7606" w:rsidP="00344E45">
            <w:pPr>
              <w:autoSpaceDE w:val="0"/>
              <w:autoSpaceDN w:val="0"/>
              <w:adjustRightInd w:val="0"/>
              <w:rPr>
                <w:rFonts w:cs="Times New Roman"/>
                <w:bCs/>
                <w:color w:val="000000"/>
                <w:sz w:val="24"/>
              </w:rPr>
            </w:pPr>
            <w:r>
              <w:rPr>
                <w:rFonts w:cs="Times New Roman"/>
                <w:bCs/>
                <w:color w:val="000000"/>
                <w:sz w:val="24"/>
              </w:rPr>
              <w:t>Friday, October 7</w:t>
            </w:r>
            <w:r w:rsidR="00693F66" w:rsidRPr="0040216C">
              <w:rPr>
                <w:rFonts w:cs="Times New Roman"/>
                <w:bCs/>
                <w:color w:val="000000"/>
                <w:sz w:val="24"/>
                <w:vertAlign w:val="superscript"/>
              </w:rPr>
              <w:t>th</w:t>
            </w:r>
            <w:r w:rsidR="00693F66" w:rsidRPr="0040216C">
              <w:rPr>
                <w:rFonts w:cs="Times New Roman"/>
                <w:bCs/>
                <w:color w:val="000000"/>
                <w:sz w:val="24"/>
              </w:rPr>
              <w:t xml:space="preserve"> </w:t>
            </w:r>
          </w:p>
        </w:tc>
        <w:tc>
          <w:tcPr>
            <w:tcW w:w="2112" w:type="dxa"/>
          </w:tcPr>
          <w:p w:rsidR="00244565" w:rsidRPr="0040216C" w:rsidRDefault="00AC1BE7" w:rsidP="002B5351">
            <w:pPr>
              <w:autoSpaceDE w:val="0"/>
              <w:autoSpaceDN w:val="0"/>
              <w:adjustRightInd w:val="0"/>
              <w:rPr>
                <w:rFonts w:cs="Times New Roman"/>
                <w:bCs/>
                <w:color w:val="000000"/>
                <w:sz w:val="24"/>
              </w:rPr>
            </w:pPr>
            <w:r>
              <w:rPr>
                <w:rFonts w:cs="Times New Roman"/>
                <w:bCs/>
                <w:color w:val="000000"/>
                <w:sz w:val="24"/>
              </w:rPr>
              <w:t>1</w:t>
            </w:r>
            <w:r w:rsidR="002B5351">
              <w:rPr>
                <w:rFonts w:cs="Times New Roman"/>
                <w:bCs/>
                <w:color w:val="000000"/>
                <w:sz w:val="24"/>
              </w:rPr>
              <w:t>5</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LO1, LO2, LO3, LO6, 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t>Midterm exam</w:t>
            </w:r>
          </w:p>
        </w:tc>
        <w:tc>
          <w:tcPr>
            <w:tcW w:w="2694" w:type="dxa"/>
          </w:tcPr>
          <w:p w:rsidR="00F55DF3" w:rsidRPr="0040216C" w:rsidRDefault="000E7606" w:rsidP="00344E45">
            <w:pPr>
              <w:autoSpaceDE w:val="0"/>
              <w:autoSpaceDN w:val="0"/>
              <w:adjustRightInd w:val="0"/>
              <w:rPr>
                <w:rFonts w:cs="Times New Roman"/>
                <w:bCs/>
                <w:color w:val="000000"/>
                <w:sz w:val="24"/>
              </w:rPr>
            </w:pPr>
            <w:r>
              <w:rPr>
                <w:rFonts w:cs="Times New Roman"/>
                <w:bCs/>
                <w:color w:val="000000"/>
                <w:sz w:val="24"/>
              </w:rPr>
              <w:t>Friday, October 21</w:t>
            </w:r>
            <w:r>
              <w:rPr>
                <w:rFonts w:cs="Times New Roman"/>
                <w:bCs/>
                <w:color w:val="000000"/>
                <w:sz w:val="24"/>
                <w:vertAlign w:val="superscript"/>
              </w:rPr>
              <w:t>st</w:t>
            </w:r>
            <w:r>
              <w:rPr>
                <w:rFonts w:cs="Times New Roman"/>
                <w:bCs/>
                <w:color w:val="000000"/>
                <w:sz w:val="24"/>
              </w:rPr>
              <w:t xml:space="preserve"> in class</w:t>
            </w:r>
          </w:p>
        </w:tc>
        <w:tc>
          <w:tcPr>
            <w:tcW w:w="2112" w:type="dxa"/>
          </w:tcPr>
          <w:p w:rsidR="00F55DF3" w:rsidRPr="0040216C" w:rsidRDefault="00693F66" w:rsidP="002B5351">
            <w:pPr>
              <w:autoSpaceDE w:val="0"/>
              <w:autoSpaceDN w:val="0"/>
              <w:adjustRightInd w:val="0"/>
              <w:rPr>
                <w:rFonts w:cs="Times New Roman"/>
                <w:bCs/>
                <w:color w:val="000000"/>
                <w:sz w:val="24"/>
              </w:rPr>
            </w:pPr>
            <w:r w:rsidRPr="0040216C">
              <w:rPr>
                <w:rFonts w:cs="Times New Roman"/>
                <w:bCs/>
                <w:color w:val="000000"/>
                <w:sz w:val="24"/>
              </w:rPr>
              <w:t>2</w:t>
            </w:r>
            <w:r w:rsidR="002B5351">
              <w:rPr>
                <w:rFonts w:cs="Times New Roman"/>
                <w:bCs/>
                <w:color w:val="000000"/>
                <w:sz w:val="24"/>
              </w:rPr>
              <w:t>5</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0E7606" w:rsidP="00344E45">
            <w:pPr>
              <w:autoSpaceDE w:val="0"/>
              <w:autoSpaceDN w:val="0"/>
              <w:adjustRightInd w:val="0"/>
              <w:rPr>
                <w:rFonts w:cs="Times New Roman"/>
                <w:bCs/>
                <w:color w:val="000000"/>
                <w:sz w:val="24"/>
              </w:rPr>
            </w:pPr>
            <w:r>
              <w:rPr>
                <w:rFonts w:cs="Times New Roman"/>
                <w:bCs/>
                <w:color w:val="000000"/>
                <w:sz w:val="24"/>
              </w:rPr>
              <w:t>Friday, November 11</w:t>
            </w:r>
            <w:r w:rsidR="00693F66" w:rsidRPr="0040216C">
              <w:rPr>
                <w:rFonts w:cs="Times New Roman"/>
                <w:bCs/>
                <w:color w:val="000000"/>
                <w:sz w:val="24"/>
                <w:vertAlign w:val="superscript"/>
              </w:rPr>
              <w:t>th</w:t>
            </w:r>
            <w:r w:rsidR="00693F66" w:rsidRPr="0040216C">
              <w:rPr>
                <w:rFonts w:cs="Times New Roman"/>
                <w:bCs/>
                <w:color w:val="000000"/>
                <w:sz w:val="24"/>
              </w:rPr>
              <w:t xml:space="preserve"> </w:t>
            </w:r>
          </w:p>
        </w:tc>
        <w:tc>
          <w:tcPr>
            <w:tcW w:w="2112" w:type="dxa"/>
          </w:tcPr>
          <w:p w:rsidR="00244565" w:rsidRPr="0040216C" w:rsidRDefault="002B5351" w:rsidP="00344E45">
            <w:pPr>
              <w:autoSpaceDE w:val="0"/>
              <w:autoSpaceDN w:val="0"/>
              <w:adjustRightInd w:val="0"/>
              <w:rPr>
                <w:rFonts w:cs="Times New Roman"/>
                <w:bCs/>
                <w:color w:val="000000"/>
                <w:sz w:val="24"/>
              </w:rPr>
            </w:pPr>
            <w:r>
              <w:rPr>
                <w:rFonts w:cs="Times New Roman"/>
                <w:bCs/>
                <w:color w:val="000000"/>
                <w:sz w:val="24"/>
              </w:rPr>
              <w:t>20</w:t>
            </w:r>
            <w:r w:rsidR="00EF6378">
              <w:rPr>
                <w:rFonts w:cs="Times New Roman"/>
                <w:bCs/>
                <w:color w:val="000000"/>
                <w:sz w:val="24"/>
              </w:rPr>
              <w:t xml:space="preserve"> </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 xml:space="preserve">Peer review of </w:t>
            </w:r>
            <w:r w:rsidR="00AC1BE7">
              <w:rPr>
                <w:rFonts w:cs="Times New Roman"/>
                <w:bCs/>
                <w:color w:val="000000"/>
                <w:sz w:val="24"/>
              </w:rPr>
              <w:t xml:space="preserve">ENVS*1030 </w:t>
            </w:r>
            <w:r w:rsidRPr="0040216C">
              <w:rPr>
                <w:rFonts w:cs="Times New Roman"/>
                <w:bCs/>
                <w:color w:val="000000"/>
                <w:sz w:val="24"/>
              </w:rPr>
              <w:t>posters</w:t>
            </w:r>
          </w:p>
        </w:tc>
        <w:tc>
          <w:tcPr>
            <w:tcW w:w="2694" w:type="dxa"/>
          </w:tcPr>
          <w:p w:rsidR="000E7606" w:rsidRDefault="000E7606" w:rsidP="00AC1BE7">
            <w:pPr>
              <w:autoSpaceDE w:val="0"/>
              <w:autoSpaceDN w:val="0"/>
              <w:adjustRightInd w:val="0"/>
              <w:rPr>
                <w:rFonts w:cs="Times New Roman"/>
                <w:bCs/>
                <w:color w:val="000000"/>
                <w:sz w:val="24"/>
              </w:rPr>
            </w:pPr>
            <w:r>
              <w:rPr>
                <w:rFonts w:cs="Times New Roman"/>
                <w:bCs/>
                <w:color w:val="000000"/>
                <w:sz w:val="24"/>
              </w:rPr>
              <w:t>Weds, November 30th</w:t>
            </w:r>
            <w:r w:rsidR="00AC1BE7">
              <w:rPr>
                <w:rFonts w:cs="Times New Roman"/>
                <w:bCs/>
                <w:color w:val="000000"/>
                <w:sz w:val="24"/>
              </w:rPr>
              <w:t xml:space="preserve"> </w:t>
            </w:r>
          </w:p>
          <w:p w:rsidR="00901A54" w:rsidRPr="0040216C" w:rsidRDefault="00901A54" w:rsidP="00AC1BE7">
            <w:pPr>
              <w:autoSpaceDE w:val="0"/>
              <w:autoSpaceDN w:val="0"/>
              <w:adjustRightInd w:val="0"/>
              <w:rPr>
                <w:rFonts w:cs="Times New Roman"/>
                <w:bCs/>
                <w:color w:val="000000"/>
                <w:sz w:val="24"/>
              </w:rPr>
            </w:pPr>
            <w:r w:rsidRPr="0040216C">
              <w:rPr>
                <w:rFonts w:cs="Times New Roman"/>
                <w:bCs/>
                <w:color w:val="000000"/>
                <w:sz w:val="24"/>
              </w:rPr>
              <w:t xml:space="preserve">  </w:t>
            </w:r>
          </w:p>
        </w:tc>
        <w:tc>
          <w:tcPr>
            <w:tcW w:w="2112" w:type="dxa"/>
          </w:tcPr>
          <w:p w:rsidR="00901A54" w:rsidRPr="0040216C" w:rsidRDefault="002B5351" w:rsidP="00344E45">
            <w:pPr>
              <w:autoSpaceDE w:val="0"/>
              <w:autoSpaceDN w:val="0"/>
              <w:adjustRightInd w:val="0"/>
              <w:rPr>
                <w:rFonts w:cs="Times New Roman"/>
                <w:bCs/>
                <w:color w:val="000000"/>
                <w:sz w:val="24"/>
              </w:rPr>
            </w:pPr>
            <w:r>
              <w:rPr>
                <w:rFonts w:cs="Times New Roman"/>
                <w:bCs/>
                <w:color w:val="000000"/>
                <w:sz w:val="24"/>
              </w:rPr>
              <w:t>10</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0E7606" w:rsidP="00344E45">
            <w:pPr>
              <w:autoSpaceDE w:val="0"/>
              <w:autoSpaceDN w:val="0"/>
              <w:adjustRightInd w:val="0"/>
              <w:rPr>
                <w:rFonts w:cs="Times New Roman"/>
                <w:bCs/>
                <w:color w:val="000000"/>
                <w:sz w:val="24"/>
              </w:rPr>
            </w:pPr>
            <w:r>
              <w:rPr>
                <w:rFonts w:cs="Times New Roman"/>
                <w:bCs/>
                <w:color w:val="000000"/>
                <w:sz w:val="24"/>
              </w:rPr>
              <w:t>Monday, December 5</w:t>
            </w:r>
            <w:r>
              <w:rPr>
                <w:rFonts w:cs="Times New Roman"/>
                <w:bCs/>
                <w:color w:val="000000"/>
                <w:sz w:val="24"/>
                <w:vertAlign w:val="superscript"/>
              </w:rPr>
              <w:t>th</w:t>
            </w:r>
            <w:r>
              <w:rPr>
                <w:rFonts w:cs="Times New Roman"/>
                <w:bCs/>
                <w:color w:val="000000"/>
                <w:sz w:val="24"/>
              </w:rPr>
              <w:t>, 7:00-9:00pm</w:t>
            </w:r>
          </w:p>
        </w:tc>
        <w:tc>
          <w:tcPr>
            <w:tcW w:w="2112" w:type="dxa"/>
          </w:tcPr>
          <w:p w:rsidR="00901A54" w:rsidRPr="0040216C" w:rsidRDefault="00AC1BE7" w:rsidP="00344E45">
            <w:pPr>
              <w:autoSpaceDE w:val="0"/>
              <w:autoSpaceDN w:val="0"/>
              <w:adjustRightInd w:val="0"/>
              <w:rPr>
                <w:rFonts w:cs="Times New Roman"/>
                <w:bCs/>
                <w:color w:val="000000"/>
                <w:sz w:val="24"/>
              </w:rPr>
            </w:pPr>
            <w:r>
              <w:rPr>
                <w:rFonts w:cs="Times New Roman"/>
                <w:bCs/>
                <w:color w:val="000000"/>
                <w:sz w:val="24"/>
              </w:rPr>
              <w:t>30</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0E7606" w:rsidRDefault="000E7606" w:rsidP="000E7606">
      <w:pPr>
        <w:pStyle w:val="Heading3"/>
        <w:rPr>
          <w:b w:val="0"/>
        </w:rPr>
      </w:pPr>
      <w:r>
        <w:rPr>
          <w:b w:val="0"/>
          <w:bCs w:val="0"/>
        </w:rPr>
        <w:t>Monday</w:t>
      </w:r>
      <w:r>
        <w:rPr>
          <w:b w:val="0"/>
        </w:rPr>
        <w:t xml:space="preserve">, December </w:t>
      </w:r>
      <w:r>
        <w:rPr>
          <w:b w:val="0"/>
          <w:bCs w:val="0"/>
        </w:rPr>
        <w:t>5</w:t>
      </w:r>
      <w:r>
        <w:rPr>
          <w:b w:val="0"/>
          <w:vertAlign w:val="superscript"/>
        </w:rPr>
        <w:t>th</w:t>
      </w:r>
      <w:r>
        <w:rPr>
          <w:b w:val="0"/>
        </w:rPr>
        <w:t xml:space="preserve">, </w:t>
      </w:r>
      <w:r>
        <w:rPr>
          <w:b w:val="0"/>
          <w:bCs w:val="0"/>
        </w:rPr>
        <w:t>7:00-9:00pm</w:t>
      </w:r>
      <w:r>
        <w:rPr>
          <w:b w:val="0"/>
        </w:rPr>
        <w:t xml:space="preserve"> </w:t>
      </w:r>
    </w:p>
    <w:p w:rsidR="000E7606" w:rsidRDefault="000E7606" w:rsidP="00C03F89">
      <w:pPr>
        <w:pStyle w:val="Heading3"/>
      </w:pP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B73968" w:rsidP="00344E45">
      <w:pPr>
        <w:autoSpaceDE w:val="0"/>
        <w:autoSpaceDN w:val="0"/>
        <w:adjustRightInd w:val="0"/>
        <w:spacing w:after="0" w:line="240" w:lineRule="auto"/>
        <w:rPr>
          <w:rFonts w:cs="Times New Roman"/>
          <w:sz w:val="24"/>
          <w:szCs w:val="24"/>
        </w:rPr>
      </w:pPr>
      <w:r>
        <w:rPr>
          <w:rFonts w:cs="Times New Roman"/>
          <w:sz w:val="24"/>
          <w:szCs w:val="24"/>
        </w:rPr>
        <w:t>30</w:t>
      </w:r>
      <w:r w:rsidR="00387C2C" w:rsidRPr="00387C2C">
        <w:rPr>
          <w:rFonts w:cs="Times New Roman"/>
          <w:sz w:val="24"/>
          <w:szCs w:val="24"/>
        </w:rPr>
        <w:t>%</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210B22" w:rsidRPr="00120B7B" w:rsidRDefault="00210B22" w:rsidP="00210B22">
      <w:pPr>
        <w:pStyle w:val="Heading3"/>
      </w:pPr>
      <w:r w:rsidRPr="00120B7B">
        <w:t>Required Texts:</w:t>
      </w:r>
    </w:p>
    <w:p w:rsidR="00210B22" w:rsidRPr="00493ABF" w:rsidRDefault="00210B22" w:rsidP="00210B22">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210B22" w:rsidRPr="00493ABF" w:rsidRDefault="00210B22" w:rsidP="00210B22">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210B22" w:rsidRPr="00493ABF" w:rsidRDefault="00210B22" w:rsidP="00210B22">
      <w:pPr>
        <w:pStyle w:val="ListParagraph"/>
        <w:numPr>
          <w:ilvl w:val="1"/>
          <w:numId w:val="3"/>
        </w:numPr>
        <w:spacing w:before="120" w:after="120" w:line="240" w:lineRule="auto"/>
        <w:ind w:left="720"/>
        <w:jc w:val="both"/>
        <w:rPr>
          <w:sz w:val="24"/>
          <w:szCs w:val="24"/>
        </w:rPr>
      </w:pPr>
      <w:r w:rsidRPr="00493ABF">
        <w:rPr>
          <w:sz w:val="24"/>
          <w:szCs w:val="24"/>
        </w:rPr>
        <w:t xml:space="preserve">Weston, A. &amp; B. </w:t>
      </w:r>
      <w:proofErr w:type="spellStart"/>
      <w:r w:rsidRPr="00493ABF">
        <w:rPr>
          <w:sz w:val="24"/>
          <w:szCs w:val="24"/>
        </w:rPr>
        <w:t>Stoyles</w:t>
      </w:r>
      <w:proofErr w:type="spellEnd"/>
      <w:r w:rsidRPr="00493ABF">
        <w:rPr>
          <w:sz w:val="24"/>
          <w:szCs w:val="24"/>
        </w:rPr>
        <w:t xml:space="preserve">.  </w:t>
      </w:r>
      <w:r w:rsidRPr="00493ABF">
        <w:rPr>
          <w:i/>
          <w:sz w:val="24"/>
          <w:szCs w:val="24"/>
        </w:rPr>
        <w:t>Creativity for Critical Thinkers</w:t>
      </w:r>
      <w:r w:rsidRPr="00493ABF">
        <w:rPr>
          <w:sz w:val="24"/>
          <w:szCs w:val="24"/>
        </w:rPr>
        <w:t>.  Oxford University Press.</w:t>
      </w:r>
    </w:p>
    <w:p w:rsidR="00210B22" w:rsidRPr="00493ABF" w:rsidRDefault="00210B22" w:rsidP="00210B22">
      <w:pPr>
        <w:pStyle w:val="ListParagraph"/>
        <w:numPr>
          <w:ilvl w:val="1"/>
          <w:numId w:val="3"/>
        </w:numPr>
        <w:spacing w:before="120" w:after="120" w:line="240" w:lineRule="auto"/>
        <w:ind w:left="720"/>
        <w:jc w:val="both"/>
        <w:rPr>
          <w:sz w:val="24"/>
          <w:szCs w:val="24"/>
        </w:rPr>
      </w:pPr>
      <w:r w:rsidRPr="00493ABF">
        <w:rPr>
          <w:sz w:val="24"/>
          <w:szCs w:val="24"/>
        </w:rPr>
        <w:t xml:space="preserve">Williston, B. </w:t>
      </w:r>
      <w:r w:rsidRPr="00493ABF">
        <w:rPr>
          <w:i/>
          <w:sz w:val="24"/>
          <w:szCs w:val="24"/>
        </w:rPr>
        <w:t>Environmental Ethics for Canadians</w:t>
      </w:r>
      <w:r w:rsidRPr="00493ABF">
        <w:rPr>
          <w:sz w:val="24"/>
          <w:szCs w:val="24"/>
        </w:rPr>
        <w:t xml:space="preserve">.  </w:t>
      </w:r>
      <w:r>
        <w:rPr>
          <w:sz w:val="24"/>
          <w:szCs w:val="24"/>
        </w:rPr>
        <w:t>2</w:t>
      </w:r>
      <w:r w:rsidRPr="00153B7F">
        <w:rPr>
          <w:sz w:val="24"/>
          <w:szCs w:val="24"/>
          <w:vertAlign w:val="superscript"/>
        </w:rPr>
        <w:t>nd</w:t>
      </w:r>
      <w:r>
        <w:rPr>
          <w:sz w:val="24"/>
          <w:szCs w:val="24"/>
        </w:rPr>
        <w:t xml:space="preserve"> edition. </w:t>
      </w:r>
      <w:r w:rsidRPr="00493ABF">
        <w:rPr>
          <w:sz w:val="24"/>
          <w:szCs w:val="24"/>
        </w:rPr>
        <w:t>Oxford University Press.</w:t>
      </w:r>
    </w:p>
    <w:p w:rsidR="00210B22" w:rsidRPr="00493ABF" w:rsidRDefault="00210B22" w:rsidP="00210B22">
      <w:pPr>
        <w:pStyle w:val="ListParagraph"/>
        <w:numPr>
          <w:ilvl w:val="1"/>
          <w:numId w:val="3"/>
        </w:numPr>
        <w:spacing w:before="120" w:after="120" w:line="240" w:lineRule="auto"/>
        <w:ind w:left="720"/>
        <w:jc w:val="both"/>
        <w:rPr>
          <w:sz w:val="24"/>
          <w:szCs w:val="24"/>
        </w:rPr>
      </w:pPr>
      <w:proofErr w:type="spellStart"/>
      <w:r w:rsidRPr="00493ABF">
        <w:rPr>
          <w:sz w:val="24"/>
          <w:szCs w:val="24"/>
        </w:rPr>
        <w:t>Ruxton</w:t>
      </w:r>
      <w:proofErr w:type="spellEnd"/>
      <w:r w:rsidRPr="00493ABF">
        <w:rPr>
          <w:sz w:val="24"/>
          <w:szCs w:val="24"/>
        </w:rPr>
        <w:t xml:space="preserve">, G.D. &amp; N. </w:t>
      </w:r>
      <w:proofErr w:type="spellStart"/>
      <w:r w:rsidRPr="00493ABF">
        <w:rPr>
          <w:sz w:val="24"/>
          <w:szCs w:val="24"/>
        </w:rPr>
        <w:t>Colegrave</w:t>
      </w:r>
      <w:proofErr w:type="spellEnd"/>
      <w:r w:rsidRPr="00493ABF">
        <w:rPr>
          <w:sz w:val="24"/>
          <w:szCs w:val="24"/>
        </w:rPr>
        <w:t xml:space="preserve">. </w:t>
      </w:r>
      <w:r w:rsidRPr="00493ABF">
        <w:rPr>
          <w:i/>
          <w:sz w:val="24"/>
          <w:szCs w:val="24"/>
        </w:rPr>
        <w:t>Experimental Design for the Life Sciences</w:t>
      </w:r>
      <w:r w:rsidRPr="00493ABF">
        <w:rPr>
          <w:sz w:val="24"/>
          <w:szCs w:val="24"/>
        </w:rPr>
        <w:t xml:space="preserve">.  </w:t>
      </w:r>
      <w:r>
        <w:rPr>
          <w:sz w:val="24"/>
          <w:szCs w:val="24"/>
        </w:rPr>
        <w:t>3</w:t>
      </w:r>
      <w:r w:rsidRPr="00153B7F">
        <w:rPr>
          <w:sz w:val="24"/>
          <w:szCs w:val="24"/>
          <w:vertAlign w:val="superscript"/>
        </w:rPr>
        <w:t>rd</w:t>
      </w:r>
      <w:r>
        <w:rPr>
          <w:sz w:val="24"/>
          <w:szCs w:val="24"/>
        </w:rPr>
        <w:t xml:space="preserve"> edition. </w:t>
      </w:r>
      <w:r w:rsidRPr="00493ABF">
        <w:rPr>
          <w:sz w:val="24"/>
          <w:szCs w:val="24"/>
        </w:rPr>
        <w:t>Oxford University Press.</w:t>
      </w:r>
    </w:p>
    <w:p w:rsidR="00210B22" w:rsidRDefault="00210B22" w:rsidP="00210B22">
      <w:pPr>
        <w:pStyle w:val="Heading2"/>
      </w:pPr>
    </w:p>
    <w:p w:rsidR="00210B22" w:rsidRPr="00120B7B" w:rsidRDefault="00210B22" w:rsidP="00210B22">
      <w:pPr>
        <w:pStyle w:val="Heading3"/>
      </w:pPr>
      <w:r w:rsidRPr="00120B7B">
        <w:t>Recommended Texts:</w:t>
      </w:r>
    </w:p>
    <w:p w:rsidR="00210B22" w:rsidRDefault="00210B22" w:rsidP="00210B22">
      <w:pPr>
        <w:autoSpaceDE w:val="0"/>
        <w:autoSpaceDN w:val="0"/>
        <w:adjustRightInd w:val="0"/>
        <w:spacing w:after="0" w:line="240" w:lineRule="auto"/>
        <w:rPr>
          <w:rStyle w:val="Emphasis"/>
          <w:b w:val="0"/>
          <w:i w:val="0"/>
          <w:color w:val="auto"/>
        </w:rPr>
      </w:pPr>
    </w:p>
    <w:p w:rsidR="00210B22" w:rsidRPr="00493ABF" w:rsidRDefault="00210B22" w:rsidP="00210B22">
      <w:pPr>
        <w:autoSpaceDE w:val="0"/>
        <w:autoSpaceDN w:val="0"/>
        <w:adjustRightInd w:val="0"/>
        <w:spacing w:after="0" w:line="240" w:lineRule="auto"/>
        <w:rPr>
          <w:rStyle w:val="Emphasis"/>
          <w:b w:val="0"/>
          <w:i w:val="0"/>
          <w:color w:val="auto"/>
        </w:rPr>
      </w:pPr>
      <w:proofErr w:type="gramStart"/>
      <w:r w:rsidRPr="00493ABF">
        <w:rPr>
          <w:rStyle w:val="Emphasis"/>
          <w:b w:val="0"/>
          <w:i w:val="0"/>
          <w:color w:val="auto"/>
        </w:rPr>
        <w:t>None.</w:t>
      </w:r>
      <w:proofErr w:type="gramEnd"/>
    </w:p>
    <w:p w:rsidR="00210B22" w:rsidRPr="00120B7B" w:rsidRDefault="00210B22" w:rsidP="00210B22">
      <w:pPr>
        <w:autoSpaceDE w:val="0"/>
        <w:autoSpaceDN w:val="0"/>
        <w:adjustRightInd w:val="0"/>
        <w:spacing w:after="0" w:line="240" w:lineRule="auto"/>
        <w:rPr>
          <w:rFonts w:cs="Times New Roman"/>
          <w:color w:val="000000"/>
          <w:sz w:val="24"/>
          <w:szCs w:val="24"/>
        </w:rPr>
      </w:pPr>
    </w:p>
    <w:p w:rsidR="00210B22" w:rsidRDefault="00210B22" w:rsidP="00210B22">
      <w:pPr>
        <w:pStyle w:val="Heading2"/>
      </w:pPr>
      <w:r w:rsidRPr="00120B7B">
        <w:lastRenderedPageBreak/>
        <w:t>Course Resources</w:t>
      </w:r>
      <w:r>
        <w:t xml:space="preserve"> (continued)</w:t>
      </w:r>
    </w:p>
    <w:p w:rsidR="00210B22" w:rsidRDefault="00210B22" w:rsidP="00210B22">
      <w:pPr>
        <w:pStyle w:val="Heading2"/>
      </w:pPr>
    </w:p>
    <w:p w:rsidR="00210B22" w:rsidRPr="00210B22" w:rsidRDefault="00210B22" w:rsidP="00210B22">
      <w:pPr>
        <w:pStyle w:val="Heading2"/>
        <w:rPr>
          <w:sz w:val="24"/>
          <w:u w:val="none"/>
        </w:rPr>
      </w:pPr>
      <w:r w:rsidRPr="00210B22">
        <w:rPr>
          <w:sz w:val="24"/>
          <w:u w:val="none"/>
        </w:rPr>
        <w:t>Lab Manual:</w:t>
      </w:r>
    </w:p>
    <w:p w:rsidR="00210B22" w:rsidRDefault="00210B22" w:rsidP="00210B22">
      <w:pPr>
        <w:autoSpaceDE w:val="0"/>
        <w:autoSpaceDN w:val="0"/>
        <w:adjustRightInd w:val="0"/>
        <w:spacing w:after="0" w:line="240" w:lineRule="auto"/>
        <w:rPr>
          <w:rStyle w:val="Emphasis"/>
          <w:b w:val="0"/>
          <w:i w:val="0"/>
          <w:color w:val="auto"/>
        </w:rPr>
      </w:pPr>
    </w:p>
    <w:p w:rsidR="00210B22" w:rsidRPr="00493ABF" w:rsidRDefault="00210B22" w:rsidP="00210B22">
      <w:pPr>
        <w:autoSpaceDE w:val="0"/>
        <w:autoSpaceDN w:val="0"/>
        <w:adjustRightInd w:val="0"/>
        <w:spacing w:after="0" w:line="240" w:lineRule="auto"/>
        <w:rPr>
          <w:rFonts w:cs="Times New Roman"/>
          <w:b/>
          <w:i/>
          <w:sz w:val="24"/>
          <w:szCs w:val="24"/>
        </w:rPr>
      </w:pPr>
      <w:proofErr w:type="gramStart"/>
      <w:r w:rsidRPr="00493ABF">
        <w:rPr>
          <w:rStyle w:val="Emphasis"/>
          <w:b w:val="0"/>
          <w:i w:val="0"/>
          <w:color w:val="auto"/>
        </w:rPr>
        <w:t>None.</w:t>
      </w:r>
      <w:proofErr w:type="gramEnd"/>
    </w:p>
    <w:p w:rsidR="00210B22" w:rsidRDefault="00210B22" w:rsidP="00210B22">
      <w:pPr>
        <w:pStyle w:val="Heading3"/>
      </w:pPr>
    </w:p>
    <w:p w:rsidR="00210B22" w:rsidRPr="00120B7B" w:rsidRDefault="00210B22" w:rsidP="00210B22">
      <w:pPr>
        <w:pStyle w:val="Heading3"/>
      </w:pPr>
      <w:r w:rsidRPr="00120B7B">
        <w:t>Other Resources:</w:t>
      </w:r>
    </w:p>
    <w:p w:rsidR="00210B22" w:rsidRDefault="00210B22" w:rsidP="00210B22">
      <w:pPr>
        <w:shd w:val="clear" w:color="auto" w:fill="FAFAFA"/>
        <w:spacing w:after="0" w:line="240" w:lineRule="auto"/>
        <w:rPr>
          <w:rFonts w:eastAsia="Times New Roman" w:cs="Times New Roman"/>
          <w:b/>
          <w:bCs/>
          <w:sz w:val="24"/>
          <w:szCs w:val="24"/>
          <w:shd w:val="clear" w:color="auto" w:fill="FFFFFF"/>
        </w:rPr>
      </w:pPr>
    </w:p>
    <w:p w:rsidR="00210B22" w:rsidRPr="00DE32C5" w:rsidRDefault="00210B22" w:rsidP="00210B22">
      <w:pPr>
        <w:shd w:val="clear" w:color="auto" w:fill="FAFAFA"/>
        <w:spacing w:after="0" w:line="240" w:lineRule="auto"/>
        <w:rPr>
          <w:rFonts w:eastAsia="Times New Roman" w:cs="Times New Roman"/>
          <w:sz w:val="24"/>
          <w:szCs w:val="24"/>
        </w:rPr>
      </w:pPr>
      <w:r w:rsidRPr="00DE32C5">
        <w:rPr>
          <w:rFonts w:eastAsia="Times New Roman" w:cs="Times New Roman"/>
          <w:b/>
          <w:bCs/>
          <w:sz w:val="24"/>
          <w:szCs w:val="24"/>
          <w:shd w:val="clear" w:color="auto" w:fill="FFFFFF"/>
        </w:rPr>
        <w:t>Top Hat</w:t>
      </w:r>
    </w:p>
    <w:p w:rsidR="00210B22" w:rsidRPr="00DE32C5" w:rsidRDefault="00210B22" w:rsidP="00210B22">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We will be using the Top Hat (</w:t>
      </w:r>
      <w:hyperlink r:id="rId7" w:tgtFrame="_blank" w:history="1">
        <w:r w:rsidRPr="00DE32C5">
          <w:rPr>
            <w:rFonts w:eastAsia="Times New Roman" w:cs="Times New Roman"/>
            <w:sz w:val="24"/>
            <w:szCs w:val="24"/>
            <w:u w:val="single"/>
            <w:shd w:val="clear" w:color="auto" w:fill="FAFAFA"/>
          </w:rPr>
          <w:t>www.tophat.com</w:t>
        </w:r>
      </w:hyperlink>
      <w:r w:rsidRPr="00DE32C5">
        <w:rPr>
          <w:rFonts w:eastAsia="Times New Roman" w:cs="Times New Roman"/>
          <w:sz w:val="24"/>
          <w:szCs w:val="24"/>
          <w:shd w:val="clear" w:color="auto" w:fill="FFFFFF"/>
        </w:rPr>
        <w:t>) classroom response system in class. You will be able to submit answers to in-class questions using Apple or Android smartphones and tablets, laptops, or through text message.  </w:t>
      </w:r>
    </w:p>
    <w:p w:rsidR="00210B22" w:rsidRPr="00DE32C5" w:rsidRDefault="00210B22" w:rsidP="00210B22">
      <w:pPr>
        <w:shd w:val="clear" w:color="auto" w:fill="FAFAFA"/>
        <w:spacing w:after="0" w:line="240" w:lineRule="auto"/>
        <w:rPr>
          <w:rFonts w:eastAsia="Times New Roman" w:cs="Times New Roman"/>
          <w:sz w:val="24"/>
          <w:szCs w:val="24"/>
          <w:shd w:val="clear" w:color="auto" w:fill="FFFFFF"/>
        </w:rPr>
      </w:pPr>
    </w:p>
    <w:p w:rsidR="00210B22" w:rsidRPr="00DE32C5" w:rsidRDefault="00210B22" w:rsidP="00210B22">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You can visit the Top Hat Overview (</w:t>
      </w:r>
      <w:hyperlink r:id="rId8" w:tgtFrame="_blank" w:history="1">
        <w:r w:rsidRPr="00DE32C5">
          <w:rPr>
            <w:rFonts w:eastAsia="Times New Roman" w:cs="Times New Roman"/>
            <w:sz w:val="24"/>
            <w:szCs w:val="24"/>
            <w:u w:val="single"/>
            <w:shd w:val="clear" w:color="auto" w:fill="FAFAFA"/>
          </w:rPr>
          <w:t>https://success.tophat.com/s/article/Student-Top-Hat-Overview-and-Getting-Started-Guide</w:t>
        </w:r>
      </w:hyperlink>
      <w:r w:rsidRPr="00DE32C5">
        <w:rPr>
          <w:rFonts w:eastAsia="Times New Roman" w:cs="Times New Roman"/>
          <w:sz w:val="24"/>
          <w:szCs w:val="24"/>
          <w:shd w:val="clear" w:color="auto" w:fill="FFFFFF"/>
        </w:rPr>
        <w:t>) within the Top Hat Success Center which outlines how you will register for a Top Hat account, as well as providing a brief overview to get you up and running on the system.</w:t>
      </w:r>
    </w:p>
    <w:p w:rsidR="00210B22" w:rsidRPr="00DE32C5" w:rsidRDefault="00210B22" w:rsidP="00210B22">
      <w:pPr>
        <w:shd w:val="clear" w:color="auto" w:fill="FAFAFA"/>
        <w:spacing w:after="0" w:line="240" w:lineRule="auto"/>
        <w:rPr>
          <w:rFonts w:eastAsia="Times New Roman" w:cs="Times New Roman"/>
          <w:sz w:val="24"/>
          <w:szCs w:val="24"/>
          <w:shd w:val="clear" w:color="auto" w:fill="FAFAFA"/>
        </w:rPr>
      </w:pPr>
    </w:p>
    <w:p w:rsidR="00210B22" w:rsidRPr="00DE32C5" w:rsidRDefault="00210B22" w:rsidP="00210B22">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AFAFA"/>
        </w:rPr>
        <w:t>An invitation will be sent to you by email, but if you don’t receive this email, you can register by simply visiting our course website: </w:t>
      </w:r>
      <w:hyperlink r:id="rId9" w:tgtFrame="_blank" w:history="1">
        <w:r w:rsidRPr="00DE32C5">
          <w:rPr>
            <w:rFonts w:eastAsia="Times New Roman" w:cs="Times New Roman"/>
            <w:b/>
            <w:bCs/>
            <w:sz w:val="24"/>
            <w:szCs w:val="24"/>
            <w:u w:val="single"/>
            <w:shd w:val="clear" w:color="auto" w:fill="FAFAFA"/>
          </w:rPr>
          <w:t>https://app.tophat.com/e/206011</w:t>
        </w:r>
      </w:hyperlink>
      <w:r w:rsidRPr="00DE32C5">
        <w:rPr>
          <w:rFonts w:eastAsia="Times New Roman" w:cs="Times New Roman"/>
          <w:sz w:val="24"/>
          <w:szCs w:val="24"/>
          <w:shd w:val="clear" w:color="auto" w:fill="FAFAFA"/>
        </w:rPr>
        <w:br/>
        <w:t>Note: our Course Join Code is </w:t>
      </w:r>
      <w:r w:rsidRPr="00DE32C5">
        <w:rPr>
          <w:rFonts w:eastAsia="Times New Roman" w:cs="Times New Roman"/>
          <w:b/>
          <w:bCs/>
          <w:sz w:val="24"/>
          <w:szCs w:val="24"/>
          <w:shd w:val="clear" w:color="auto" w:fill="FAFAFA"/>
        </w:rPr>
        <w:t>206011</w:t>
      </w:r>
    </w:p>
    <w:p w:rsidR="00210B22" w:rsidRDefault="00210B22" w:rsidP="00210B22">
      <w:pPr>
        <w:shd w:val="clear" w:color="auto" w:fill="FAFAFA"/>
        <w:spacing w:after="0" w:line="240" w:lineRule="auto"/>
        <w:rPr>
          <w:rFonts w:eastAsia="Times New Roman" w:cs="Times New Roman"/>
          <w:sz w:val="24"/>
          <w:szCs w:val="24"/>
          <w:shd w:val="clear" w:color="auto" w:fill="FFFFFF"/>
        </w:rPr>
      </w:pPr>
    </w:p>
    <w:p w:rsidR="00210B22" w:rsidRPr="00DE32C5" w:rsidRDefault="00210B22" w:rsidP="00210B22">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Top Hat wi</w:t>
      </w:r>
      <w:r>
        <w:rPr>
          <w:rFonts w:eastAsia="Times New Roman" w:cs="Times New Roman"/>
          <w:sz w:val="24"/>
          <w:szCs w:val="24"/>
          <w:shd w:val="clear" w:color="auto" w:fill="FFFFFF"/>
        </w:rPr>
        <w:t xml:space="preserve">ll require a paid subscription. </w:t>
      </w:r>
      <w:r w:rsidRPr="00DE32C5">
        <w:rPr>
          <w:rFonts w:eastAsia="Times New Roman" w:cs="Times New Roman"/>
          <w:sz w:val="24"/>
          <w:szCs w:val="24"/>
          <w:shd w:val="clear" w:color="auto" w:fill="FFFFFF"/>
        </w:rPr>
        <w:t>A full breakdown of all subscription options available can be found here: </w:t>
      </w:r>
      <w:hyperlink r:id="rId10" w:tgtFrame="_blank" w:history="1">
        <w:r w:rsidRPr="00DE32C5">
          <w:rPr>
            <w:rFonts w:eastAsia="Times New Roman" w:cs="Times New Roman"/>
            <w:sz w:val="24"/>
            <w:szCs w:val="24"/>
            <w:u w:val="single"/>
            <w:shd w:val="clear" w:color="auto" w:fill="FAFAFA"/>
          </w:rPr>
          <w:t>www.tophat.com/pricing</w:t>
        </w:r>
      </w:hyperlink>
      <w:r w:rsidRPr="00DE32C5">
        <w:rPr>
          <w:rFonts w:eastAsia="Times New Roman" w:cs="Times New Roman"/>
          <w:sz w:val="24"/>
          <w:szCs w:val="24"/>
          <w:shd w:val="clear" w:color="auto" w:fill="FFFFFF"/>
        </w:rPr>
        <w:t>. </w:t>
      </w:r>
    </w:p>
    <w:p w:rsidR="00210B22" w:rsidRDefault="00210B22" w:rsidP="00210B22">
      <w:pPr>
        <w:shd w:val="clear" w:color="auto" w:fill="FAFAFA"/>
        <w:spacing w:after="0" w:line="240" w:lineRule="auto"/>
        <w:rPr>
          <w:rFonts w:eastAsia="Times New Roman" w:cs="Times New Roman"/>
          <w:sz w:val="24"/>
          <w:szCs w:val="24"/>
          <w:shd w:val="clear" w:color="auto" w:fill="FAFAFA"/>
        </w:rPr>
      </w:pPr>
    </w:p>
    <w:p w:rsidR="00210B22" w:rsidRPr="00DE32C5" w:rsidRDefault="00210B22" w:rsidP="00210B22">
      <w:pPr>
        <w:shd w:val="clear" w:color="auto" w:fill="FAFAFA"/>
        <w:spacing w:after="0" w:line="240" w:lineRule="auto"/>
        <w:rPr>
          <w:rFonts w:eastAsia="Times New Roman" w:cs="Times New Roman"/>
          <w:sz w:val="24"/>
          <w:szCs w:val="24"/>
          <w:shd w:val="clear" w:color="auto" w:fill="FAFAFA"/>
        </w:rPr>
      </w:pPr>
      <w:r w:rsidRPr="00DE32C5">
        <w:rPr>
          <w:rFonts w:eastAsia="Times New Roman" w:cs="Times New Roman"/>
          <w:sz w:val="24"/>
          <w:szCs w:val="24"/>
          <w:shd w:val="clear" w:color="auto" w:fill="FAFAFA"/>
        </w:rPr>
        <w:t>Should you require assistance with Top Hat at any time, due to the fact that they require specific user information to troubleshoot these issues, please contact their Support Tea</w:t>
      </w:r>
      <w:r>
        <w:rPr>
          <w:rFonts w:eastAsia="Times New Roman" w:cs="Times New Roman"/>
          <w:sz w:val="24"/>
          <w:szCs w:val="24"/>
          <w:shd w:val="clear" w:color="auto" w:fill="FAFAFA"/>
        </w:rPr>
        <w:t>m directly by way of email ( </w:t>
      </w:r>
      <w:hyperlink r:id="rId11" w:tgtFrame="_blank" w:history="1">
        <w:r w:rsidRPr="00DE32C5">
          <w:rPr>
            <w:rFonts w:eastAsia="Times New Roman" w:cs="Times New Roman"/>
            <w:sz w:val="24"/>
            <w:szCs w:val="24"/>
            <w:u w:val="single"/>
            <w:shd w:val="clear" w:color="auto" w:fill="FAFAFA"/>
          </w:rPr>
          <w:t>support@tophat.com</w:t>
        </w:r>
      </w:hyperlink>
      <w:r w:rsidRPr="00DE32C5">
        <w:rPr>
          <w:rFonts w:eastAsia="Times New Roman" w:cs="Times New Roman"/>
          <w:sz w:val="24"/>
          <w:szCs w:val="24"/>
          <w:shd w:val="clear" w:color="auto" w:fill="FAFAFA"/>
        </w:rPr>
        <w:t>), the in app support button, or by calling </w:t>
      </w:r>
      <w:hyperlink r:id="rId12" w:tgtFrame="_blank" w:history="1">
        <w:r w:rsidRPr="00DE32C5">
          <w:rPr>
            <w:rFonts w:eastAsia="Times New Roman" w:cs="Times New Roman"/>
            <w:sz w:val="24"/>
            <w:szCs w:val="24"/>
            <w:u w:val="single"/>
            <w:shd w:val="clear" w:color="auto" w:fill="FAFAFA"/>
          </w:rPr>
          <w:t>1-888-663-5491</w:t>
        </w:r>
      </w:hyperlink>
      <w:r w:rsidRPr="00DE32C5">
        <w:rPr>
          <w:rFonts w:eastAsia="Times New Roman" w:cs="Times New Roman"/>
          <w:sz w:val="24"/>
          <w:szCs w:val="24"/>
          <w:shd w:val="clear" w:color="auto" w:fill="FAFAFA"/>
        </w:rPr>
        <w:t>.</w:t>
      </w:r>
    </w:p>
    <w:p w:rsidR="00210B22" w:rsidRPr="00DE32C5" w:rsidRDefault="00210B22" w:rsidP="00210B22">
      <w:pPr>
        <w:autoSpaceDE w:val="0"/>
        <w:autoSpaceDN w:val="0"/>
        <w:adjustRightInd w:val="0"/>
        <w:spacing w:after="0" w:line="240" w:lineRule="auto"/>
        <w:rPr>
          <w:rFonts w:cs="Times New Roman"/>
          <w:sz w:val="24"/>
          <w:szCs w:val="24"/>
        </w:rPr>
      </w:pPr>
    </w:p>
    <w:p w:rsidR="00210B22" w:rsidRDefault="00210B22" w:rsidP="00210B22">
      <w:pPr>
        <w:autoSpaceDE w:val="0"/>
        <w:autoSpaceDN w:val="0"/>
        <w:adjustRightInd w:val="0"/>
        <w:spacing w:after="0" w:line="240" w:lineRule="auto"/>
        <w:rPr>
          <w:rFonts w:cs="Times New Roman"/>
          <w:b/>
          <w:sz w:val="24"/>
          <w:szCs w:val="24"/>
        </w:rPr>
      </w:pPr>
      <w:proofErr w:type="spellStart"/>
      <w:r>
        <w:rPr>
          <w:rFonts w:cs="Times New Roman"/>
          <w:b/>
          <w:sz w:val="24"/>
          <w:szCs w:val="24"/>
        </w:rPr>
        <w:t>Courselink</w:t>
      </w:r>
      <w:proofErr w:type="spellEnd"/>
      <w:r w:rsidRPr="00DE32C5">
        <w:rPr>
          <w:rFonts w:cs="Times New Roman"/>
          <w:b/>
          <w:sz w:val="24"/>
          <w:szCs w:val="24"/>
        </w:rPr>
        <w:t xml:space="preserve"> </w:t>
      </w:r>
    </w:p>
    <w:p w:rsidR="00210B22" w:rsidRPr="00DE32C5" w:rsidRDefault="00210B22" w:rsidP="00210B22">
      <w:pPr>
        <w:autoSpaceDE w:val="0"/>
        <w:autoSpaceDN w:val="0"/>
        <w:adjustRightInd w:val="0"/>
        <w:spacing w:after="0" w:line="240" w:lineRule="auto"/>
        <w:rPr>
          <w:rStyle w:val="Emphasis"/>
          <w:i w:val="0"/>
          <w:color w:val="auto"/>
        </w:rPr>
      </w:pPr>
      <w:r w:rsidRPr="00DE32C5">
        <w:rPr>
          <w:rFonts w:cs="Times New Roman"/>
          <w:sz w:val="24"/>
          <w:szCs w:val="24"/>
        </w:rPr>
        <w:t xml:space="preserve">Course materials will also be available on </w:t>
      </w:r>
      <w:proofErr w:type="spellStart"/>
      <w:r>
        <w:rPr>
          <w:rFonts w:cs="Times New Roman"/>
          <w:sz w:val="24"/>
          <w:szCs w:val="24"/>
        </w:rPr>
        <w:t>Courselink</w:t>
      </w:r>
      <w:proofErr w:type="spellEnd"/>
      <w:r>
        <w:rPr>
          <w:rFonts w:cs="Times New Roman"/>
          <w:sz w:val="24"/>
          <w:szCs w:val="24"/>
        </w:rPr>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210B22" w:rsidRDefault="00210B22" w:rsidP="00DC6544">
      <w:pPr>
        <w:pStyle w:val="Heading2"/>
      </w:pPr>
    </w:p>
    <w:p w:rsidR="00210B22" w:rsidRDefault="00210B22" w:rsidP="00DC6544">
      <w:pPr>
        <w:pStyle w:val="Heading2"/>
      </w:pPr>
    </w:p>
    <w:p w:rsidR="00210B22" w:rsidRDefault="00210B22" w:rsidP="00DC6544">
      <w:pPr>
        <w:pStyle w:val="Heading2"/>
      </w:pPr>
    </w:p>
    <w:p w:rsidR="00210B22" w:rsidRDefault="00210B22" w:rsidP="00DC6544">
      <w:pPr>
        <w:pStyle w:val="Heading2"/>
      </w:pPr>
    </w:p>
    <w:p w:rsidR="00210B22" w:rsidRDefault="00210B22" w:rsidP="00DC6544">
      <w:pPr>
        <w:pStyle w:val="Heading2"/>
      </w:pPr>
    </w:p>
    <w:p w:rsidR="00210B22" w:rsidRDefault="00210B22" w:rsidP="00DC6544">
      <w:pPr>
        <w:pStyle w:val="Heading2"/>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 xml:space="preserve">Written assignments will be submitted via Dropbox on D2L, before midnight on the due date. All late assignments will receive a 10% deduction for each day, or part thereof, that they are late.  </w:t>
      </w:r>
      <w:r w:rsidR="00A85A11" w:rsidRPr="00A85A11">
        <w:rPr>
          <w:sz w:val="24"/>
          <w:szCs w:val="24"/>
          <w:lang w:val="en-CA"/>
        </w:rPr>
        <w:t>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B73968" w:rsidP="004973B0">
      <w:pPr>
        <w:autoSpaceDE w:val="0"/>
        <w:autoSpaceDN w:val="0"/>
        <w:adjustRightInd w:val="0"/>
        <w:spacing w:after="0" w:line="240" w:lineRule="auto"/>
        <w:rPr>
          <w:rFonts w:cs="Times New Roman"/>
          <w:b/>
          <w:color w:val="000000"/>
          <w:sz w:val="24"/>
          <w:szCs w:val="24"/>
          <w:lang w:val="en-GB"/>
        </w:rPr>
      </w:pPr>
      <w:r>
        <w:rPr>
          <w:sz w:val="24"/>
          <w:szCs w:val="24"/>
        </w:rPr>
        <w:t>Working in groups is not permitted for any of the assignments.</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3"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4"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5"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6"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7"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8"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r>
        <w:rPr>
          <w:rStyle w:val="Emphasis"/>
          <w:b w:val="0"/>
          <w:i w:val="0"/>
          <w:color w:val="auto"/>
        </w:rPr>
        <w:t>None.</w:t>
      </w:r>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462D"/>
    <w:rsid w:val="000E7606"/>
    <w:rsid w:val="00100E42"/>
    <w:rsid w:val="00120B7B"/>
    <w:rsid w:val="00135923"/>
    <w:rsid w:val="00172680"/>
    <w:rsid w:val="001813DE"/>
    <w:rsid w:val="001905AF"/>
    <w:rsid w:val="001A6846"/>
    <w:rsid w:val="001E3DF9"/>
    <w:rsid w:val="00210B22"/>
    <w:rsid w:val="00217E1C"/>
    <w:rsid w:val="00224224"/>
    <w:rsid w:val="002400EF"/>
    <w:rsid w:val="00243317"/>
    <w:rsid w:val="00244565"/>
    <w:rsid w:val="002532BF"/>
    <w:rsid w:val="002A415C"/>
    <w:rsid w:val="002B1BDC"/>
    <w:rsid w:val="002B5351"/>
    <w:rsid w:val="002D14A4"/>
    <w:rsid w:val="00344E45"/>
    <w:rsid w:val="00351D9F"/>
    <w:rsid w:val="00363CAA"/>
    <w:rsid w:val="00381273"/>
    <w:rsid w:val="003860E4"/>
    <w:rsid w:val="00387C2C"/>
    <w:rsid w:val="003B30A7"/>
    <w:rsid w:val="003E0CD4"/>
    <w:rsid w:val="003F36E1"/>
    <w:rsid w:val="0040216C"/>
    <w:rsid w:val="00402818"/>
    <w:rsid w:val="00405963"/>
    <w:rsid w:val="00454DF4"/>
    <w:rsid w:val="00493ABF"/>
    <w:rsid w:val="004973B0"/>
    <w:rsid w:val="004E42DC"/>
    <w:rsid w:val="005C21C4"/>
    <w:rsid w:val="005C58DF"/>
    <w:rsid w:val="005E1477"/>
    <w:rsid w:val="005E48EC"/>
    <w:rsid w:val="00616685"/>
    <w:rsid w:val="006305E5"/>
    <w:rsid w:val="0066198E"/>
    <w:rsid w:val="0066562E"/>
    <w:rsid w:val="00693F66"/>
    <w:rsid w:val="006D1DE3"/>
    <w:rsid w:val="006D2A8B"/>
    <w:rsid w:val="006E3ADE"/>
    <w:rsid w:val="00727A15"/>
    <w:rsid w:val="0077135F"/>
    <w:rsid w:val="007C26D9"/>
    <w:rsid w:val="007E62E0"/>
    <w:rsid w:val="007F1643"/>
    <w:rsid w:val="00801D9A"/>
    <w:rsid w:val="008044CD"/>
    <w:rsid w:val="00815B18"/>
    <w:rsid w:val="00825F74"/>
    <w:rsid w:val="00833599"/>
    <w:rsid w:val="008350A6"/>
    <w:rsid w:val="00854328"/>
    <w:rsid w:val="00866634"/>
    <w:rsid w:val="00883376"/>
    <w:rsid w:val="0088531D"/>
    <w:rsid w:val="008A1620"/>
    <w:rsid w:val="008A7E6B"/>
    <w:rsid w:val="008E71E8"/>
    <w:rsid w:val="00901A54"/>
    <w:rsid w:val="00901A93"/>
    <w:rsid w:val="00941439"/>
    <w:rsid w:val="00955F38"/>
    <w:rsid w:val="009B6E40"/>
    <w:rsid w:val="00A011C1"/>
    <w:rsid w:val="00A01CEC"/>
    <w:rsid w:val="00A5304A"/>
    <w:rsid w:val="00A74602"/>
    <w:rsid w:val="00A85A11"/>
    <w:rsid w:val="00A908EA"/>
    <w:rsid w:val="00A910CF"/>
    <w:rsid w:val="00AA2789"/>
    <w:rsid w:val="00AB6D40"/>
    <w:rsid w:val="00AC1BE7"/>
    <w:rsid w:val="00AC5031"/>
    <w:rsid w:val="00AE4F66"/>
    <w:rsid w:val="00B0378B"/>
    <w:rsid w:val="00B1503E"/>
    <w:rsid w:val="00B73968"/>
    <w:rsid w:val="00B761FD"/>
    <w:rsid w:val="00BB7CDF"/>
    <w:rsid w:val="00BD0627"/>
    <w:rsid w:val="00C03F89"/>
    <w:rsid w:val="00C040FB"/>
    <w:rsid w:val="00C1785B"/>
    <w:rsid w:val="00C34893"/>
    <w:rsid w:val="00C405CE"/>
    <w:rsid w:val="00C508B8"/>
    <w:rsid w:val="00C6390F"/>
    <w:rsid w:val="00C71F3E"/>
    <w:rsid w:val="00C962B2"/>
    <w:rsid w:val="00CA4993"/>
    <w:rsid w:val="00CB45BD"/>
    <w:rsid w:val="00D31269"/>
    <w:rsid w:val="00D41DC9"/>
    <w:rsid w:val="00DA1703"/>
    <w:rsid w:val="00DA2638"/>
    <w:rsid w:val="00DC6544"/>
    <w:rsid w:val="00DD3E45"/>
    <w:rsid w:val="00DD7338"/>
    <w:rsid w:val="00E22DDF"/>
    <w:rsid w:val="00E24C2E"/>
    <w:rsid w:val="00E41CD8"/>
    <w:rsid w:val="00E50E12"/>
    <w:rsid w:val="00E660F2"/>
    <w:rsid w:val="00E6754D"/>
    <w:rsid w:val="00EB770C"/>
    <w:rsid w:val="00EF5F86"/>
    <w:rsid w:val="00EF6378"/>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693654638">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413771544">
      <w:bodyDiv w:val="1"/>
      <w:marLeft w:val="0"/>
      <w:marRight w:val="0"/>
      <w:marTop w:val="0"/>
      <w:marBottom w:val="0"/>
      <w:divBdr>
        <w:top w:val="none" w:sz="0" w:space="0" w:color="auto"/>
        <w:left w:val="none" w:sz="0" w:space="0" w:color="auto"/>
        <w:bottom w:val="none" w:sz="0" w:space="0" w:color="auto"/>
        <w:right w:val="none" w:sz="0" w:space="0" w:color="auto"/>
      </w:divBdr>
    </w:div>
    <w:div w:id="1528330600">
      <w:bodyDiv w:val="1"/>
      <w:marLeft w:val="0"/>
      <w:marRight w:val="0"/>
      <w:marTop w:val="0"/>
      <w:marBottom w:val="0"/>
      <w:divBdr>
        <w:top w:val="none" w:sz="0" w:space="0" w:color="auto"/>
        <w:left w:val="none" w:sz="0" w:space="0" w:color="auto"/>
        <w:bottom w:val="none" w:sz="0" w:space="0" w:color="auto"/>
        <w:right w:val="none" w:sz="0" w:space="0" w:color="auto"/>
      </w:divBdr>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esware.com/tt/29bd862d00778ce7c84f157a74306813268718d3/66af4ca6833f5657573301f78b0a0288/c67e457497282900d0b3fbb8f1ae92ac/success.tophat.com/s/article/Student-Top-Hat-Overview-and-Getting-Started-Guide" TargetMode="External"/><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t.yesware.com/tt/29bd862d00778ce7c84f157a74306813268718d3/66af4ca6833f5657573301f78b0a0288/a0546ae907b8eb7aed38100b9baa289c/www.tophat.com/" TargetMode="External"/><Relationship Id="rId12" Type="http://schemas.openxmlformats.org/officeDocument/2006/relationships/hyperlink" Target="tel:1-888-663-5491" TargetMode="External"/><Relationship Id="rId17" Type="http://schemas.openxmlformats.org/officeDocument/2006/relationships/hyperlink" Target="https://www.uoguelph.ca/registrar/calendars/" TargetMode="External"/><Relationship Id="rId2" Type="http://schemas.openxmlformats.org/officeDocument/2006/relationships/numbering" Target="numbering.xml"/><Relationship Id="rId16" Type="http://schemas.openxmlformats.org/officeDocument/2006/relationships/hyperlink" Target="https://courseeval.uoguelph.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tophat.com" TargetMode="External"/><Relationship Id="rId5" Type="http://schemas.openxmlformats.org/officeDocument/2006/relationships/settings" Target="settings.xml"/><Relationship Id="rId15" Type="http://schemas.openxmlformats.org/officeDocument/2006/relationships/hyperlink" Target="http://www.uoguelph.ca/csd/" TargetMode="External"/><Relationship Id="rId10" Type="http://schemas.openxmlformats.org/officeDocument/2006/relationships/hyperlink" Target="http://t.yesware.com/tt/29bd862d00778ce7c84f157a74306813268718d3/66af4ca6833f5657573301f78b0a0288/6b17d0cacd9b8669e549098c875bd264/www.tophat.com/pric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yesware.com/tt/8978c54925750359e3df6300a9712d49fcc7983b/71c66dd5514005a1d2e93c78c011a45c/c8e2acb98dad59137c8a2d10aa49a18b/app.tophat.com/e/206011" TargetMode="External"/><Relationship Id="rId14" Type="http://schemas.openxmlformats.org/officeDocument/2006/relationships/hyperlink" Target="https://www.uoguelph.ca/registrar/calendars/undergraduate/current/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FD05-F9A2-4149-8B32-76D16BCE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2017-06-26T18:54:00Z</dcterms:created>
  <dcterms:modified xsi:type="dcterms:W3CDTF">2017-06-26T18:54:00Z</dcterms:modified>
</cp:coreProperties>
</file>